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448" w:rsidRPr="009F6B5E" w:rsidRDefault="00CF4448" w:rsidP="00B52734">
      <w:pPr>
        <w:spacing w:after="120"/>
        <w:rPr>
          <w:rFonts w:ascii="Arial" w:hAnsi="Arial" w:cs="Arial"/>
          <w:b/>
          <w:bCs/>
          <w:vanish/>
          <w:sz w:val="22"/>
          <w:szCs w:val="22"/>
          <w:specVanish/>
        </w:rPr>
      </w:pPr>
      <w:r w:rsidRPr="009F6B5E">
        <w:rPr>
          <w:rFonts w:ascii="Arial" w:eastAsia="Calibri" w:hAnsi="Arial" w:cs="Arial"/>
          <w:b/>
          <w:bCs/>
          <w:sz w:val="22"/>
          <w:szCs w:val="22"/>
        </w:rPr>
        <w:t>Canadian Freight Index Highlights:</w:t>
      </w:r>
    </w:p>
    <w:p w:rsidR="00CF4448" w:rsidRPr="009F6B5E" w:rsidRDefault="00CF4448" w:rsidP="00CF44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ascii="Arial" w:hAnsi="Arial" w:cs="Arial"/>
          <w:bCs/>
          <w:sz w:val="22"/>
          <w:szCs w:val="22"/>
        </w:rPr>
      </w:pPr>
    </w:p>
    <w:p w:rsidR="00CF4448" w:rsidRPr="009F6B5E" w:rsidRDefault="00CF4448" w:rsidP="00B52734">
      <w:pPr>
        <w:numPr>
          <w:ilvl w:val="0"/>
          <w:numId w:val="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 w:rsidRPr="009F6B5E">
        <w:rPr>
          <w:rFonts w:ascii="Arial" w:eastAsia="Calibri" w:hAnsi="Arial" w:cs="Arial"/>
          <w:b/>
          <w:bCs/>
          <w:sz w:val="22"/>
          <w:szCs w:val="22"/>
        </w:rPr>
        <w:t>Month-over-month:</w:t>
      </w:r>
      <w:r w:rsidR="009C6304" w:rsidRPr="009F6B5E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A62CFD" w:rsidRPr="009F6B5E">
        <w:rPr>
          <w:rFonts w:ascii="Arial" w:eastAsia="Calibri" w:hAnsi="Arial" w:cs="Arial"/>
          <w:bCs/>
          <w:sz w:val="22"/>
          <w:szCs w:val="22"/>
        </w:rPr>
        <w:t>V</w:t>
      </w:r>
      <w:r w:rsidRPr="009F6B5E">
        <w:rPr>
          <w:rFonts w:ascii="Arial" w:eastAsia="Calibri" w:hAnsi="Arial" w:cs="Arial"/>
          <w:bCs/>
          <w:sz w:val="22"/>
          <w:szCs w:val="22"/>
        </w:rPr>
        <w:t>olumes</w:t>
      </w:r>
      <w:r w:rsidR="00A62CFD" w:rsidRPr="009F6B5E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735C21">
        <w:rPr>
          <w:rFonts w:ascii="Arial" w:eastAsia="Calibri" w:hAnsi="Arial" w:cs="Arial"/>
          <w:bCs/>
          <w:sz w:val="22"/>
          <w:szCs w:val="22"/>
        </w:rPr>
        <w:t>increased by 17</w:t>
      </w:r>
      <w:r w:rsidR="00E27F98" w:rsidRPr="009F6B5E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9220A5" w:rsidRPr="009F6B5E">
        <w:rPr>
          <w:rFonts w:ascii="Arial" w:eastAsia="Calibri" w:hAnsi="Arial" w:cs="Arial"/>
          <w:bCs/>
          <w:sz w:val="22"/>
          <w:szCs w:val="22"/>
        </w:rPr>
        <w:t>percent</w:t>
      </w:r>
      <w:r w:rsidR="000C0137" w:rsidRPr="009F6B5E">
        <w:rPr>
          <w:rFonts w:ascii="Arial" w:eastAsia="Calibri" w:hAnsi="Arial" w:cs="Arial"/>
          <w:bCs/>
          <w:sz w:val="22"/>
          <w:szCs w:val="22"/>
        </w:rPr>
        <w:t xml:space="preserve"> compared to </w:t>
      </w:r>
      <w:r w:rsidR="00735C21">
        <w:rPr>
          <w:rFonts w:ascii="Arial" w:eastAsia="Calibri" w:hAnsi="Arial" w:cs="Arial"/>
          <w:bCs/>
          <w:sz w:val="22"/>
          <w:szCs w:val="22"/>
        </w:rPr>
        <w:t>April</w:t>
      </w:r>
      <w:r w:rsidR="005179A3" w:rsidRPr="009F6B5E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A62CFD" w:rsidRPr="009F6B5E">
        <w:rPr>
          <w:rFonts w:ascii="Arial" w:eastAsia="Calibri" w:hAnsi="Arial" w:cs="Arial"/>
          <w:bCs/>
          <w:sz w:val="22"/>
          <w:szCs w:val="22"/>
        </w:rPr>
        <w:t>2017</w:t>
      </w:r>
      <w:r w:rsidR="00FF7195" w:rsidRPr="009F6B5E">
        <w:rPr>
          <w:rFonts w:ascii="Arial" w:eastAsia="Calibri" w:hAnsi="Arial" w:cs="Arial"/>
          <w:bCs/>
          <w:sz w:val="22"/>
          <w:szCs w:val="22"/>
        </w:rPr>
        <w:t>.</w:t>
      </w:r>
    </w:p>
    <w:p w:rsidR="009A6DBE" w:rsidRPr="009F6B5E" w:rsidRDefault="00CF4448" w:rsidP="00D472B2">
      <w:pPr>
        <w:numPr>
          <w:ilvl w:val="0"/>
          <w:numId w:val="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360"/>
        <w:rPr>
          <w:rFonts w:ascii="Arial" w:eastAsia="Calibri" w:hAnsi="Arial" w:cs="Arial"/>
          <w:b/>
          <w:bCs/>
          <w:sz w:val="22"/>
          <w:szCs w:val="22"/>
        </w:rPr>
      </w:pPr>
      <w:r w:rsidRPr="009F6B5E">
        <w:rPr>
          <w:rFonts w:ascii="Arial" w:hAnsi="Arial" w:cs="Arial"/>
          <w:b/>
          <w:bCs/>
          <w:sz w:val="22"/>
          <w:szCs w:val="22"/>
        </w:rPr>
        <w:t>Year-over-yea</w:t>
      </w:r>
      <w:r w:rsidRPr="009F6B5E">
        <w:rPr>
          <w:rFonts w:ascii="Arial" w:eastAsia="Calibri" w:hAnsi="Arial" w:cs="Arial"/>
          <w:b/>
          <w:bCs/>
          <w:sz w:val="22"/>
          <w:szCs w:val="22"/>
        </w:rPr>
        <w:t xml:space="preserve">r: </w:t>
      </w:r>
      <w:r w:rsidR="00A62CFD" w:rsidRPr="009F6B5E">
        <w:rPr>
          <w:rFonts w:ascii="Arial" w:eastAsia="Calibri" w:hAnsi="Arial" w:cs="Arial"/>
          <w:bCs/>
          <w:sz w:val="22"/>
          <w:szCs w:val="22"/>
        </w:rPr>
        <w:t>V</w:t>
      </w:r>
      <w:r w:rsidRPr="009F6B5E">
        <w:rPr>
          <w:rFonts w:ascii="Arial" w:eastAsia="Calibri" w:hAnsi="Arial" w:cs="Arial"/>
          <w:bCs/>
          <w:sz w:val="22"/>
          <w:szCs w:val="22"/>
        </w:rPr>
        <w:t xml:space="preserve">olumes </w:t>
      </w:r>
      <w:r w:rsidR="00400A05" w:rsidRPr="009F6B5E">
        <w:rPr>
          <w:rFonts w:ascii="Arial" w:eastAsia="Calibri" w:hAnsi="Arial" w:cs="Arial"/>
          <w:bCs/>
          <w:sz w:val="22"/>
          <w:szCs w:val="22"/>
        </w:rPr>
        <w:t xml:space="preserve">increased </w:t>
      </w:r>
      <w:r w:rsidR="00735C21">
        <w:rPr>
          <w:rFonts w:ascii="Arial" w:eastAsia="Calibri" w:hAnsi="Arial" w:cs="Arial"/>
          <w:bCs/>
          <w:sz w:val="22"/>
          <w:szCs w:val="22"/>
        </w:rPr>
        <w:t>31</w:t>
      </w:r>
      <w:r w:rsidR="005179A3" w:rsidRPr="009F6B5E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400A05" w:rsidRPr="009F6B5E">
        <w:rPr>
          <w:rFonts w:ascii="Arial" w:eastAsia="Calibri" w:hAnsi="Arial" w:cs="Arial"/>
          <w:bCs/>
          <w:sz w:val="22"/>
          <w:szCs w:val="22"/>
        </w:rPr>
        <w:t xml:space="preserve">percent </w:t>
      </w:r>
      <w:r w:rsidR="00864FB1" w:rsidRPr="009F6B5E">
        <w:rPr>
          <w:rFonts w:ascii="Arial" w:eastAsia="Calibri" w:hAnsi="Arial" w:cs="Arial"/>
          <w:bCs/>
          <w:sz w:val="22"/>
          <w:szCs w:val="22"/>
        </w:rPr>
        <w:t>c</w:t>
      </w:r>
      <w:r w:rsidRPr="009F6B5E">
        <w:rPr>
          <w:rFonts w:ascii="Arial" w:eastAsia="Calibri" w:hAnsi="Arial" w:cs="Arial"/>
          <w:bCs/>
          <w:sz w:val="22"/>
          <w:szCs w:val="22"/>
        </w:rPr>
        <w:t xml:space="preserve">ompared to </w:t>
      </w:r>
      <w:r w:rsidR="00B55D1C">
        <w:rPr>
          <w:rFonts w:ascii="Arial" w:eastAsia="Calibri" w:hAnsi="Arial" w:cs="Arial"/>
          <w:bCs/>
          <w:sz w:val="22"/>
          <w:szCs w:val="22"/>
        </w:rPr>
        <w:t>May</w:t>
      </w:r>
      <w:r w:rsidR="005179A3" w:rsidRPr="009F6B5E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974A68" w:rsidRPr="009F6B5E">
        <w:rPr>
          <w:rFonts w:ascii="Arial" w:eastAsia="Calibri" w:hAnsi="Arial" w:cs="Arial"/>
          <w:bCs/>
          <w:sz w:val="22"/>
          <w:szCs w:val="22"/>
        </w:rPr>
        <w:t>2016</w:t>
      </w:r>
      <w:r w:rsidR="00FF7195" w:rsidRPr="009F6B5E">
        <w:rPr>
          <w:rFonts w:ascii="Arial" w:eastAsia="Calibri" w:hAnsi="Arial" w:cs="Arial"/>
          <w:bCs/>
          <w:sz w:val="22"/>
          <w:szCs w:val="22"/>
        </w:rPr>
        <w:t>.</w:t>
      </w:r>
    </w:p>
    <w:p w:rsidR="00735C21" w:rsidRDefault="00770670" w:rsidP="00205EC1">
      <w:pPr>
        <w:pStyle w:val="ListParagraph"/>
        <w:numPr>
          <w:ilvl w:val="0"/>
          <w:numId w:val="8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Highlight</w:t>
      </w:r>
      <w:r w:rsidR="00735C21">
        <w:rPr>
          <w:rFonts w:ascii="Arial" w:hAnsi="Arial" w:cs="Arial"/>
          <w:b/>
          <w:bCs/>
        </w:rPr>
        <w:t>s</w:t>
      </w:r>
      <w:r w:rsidR="00C537B2" w:rsidRPr="009F6B5E">
        <w:rPr>
          <w:rFonts w:ascii="Arial" w:hAnsi="Arial" w:cs="Arial"/>
          <w:b/>
          <w:bCs/>
        </w:rPr>
        <w:t xml:space="preserve">: </w:t>
      </w:r>
    </w:p>
    <w:p w:rsidR="00735C21" w:rsidRPr="00B55D1C" w:rsidRDefault="00735C21" w:rsidP="00735C21">
      <w:pPr>
        <w:pStyle w:val="ListParagraph"/>
        <w:numPr>
          <w:ilvl w:val="1"/>
          <w:numId w:val="8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120"/>
        <w:rPr>
          <w:rFonts w:ascii="Arial" w:hAnsi="Arial" w:cs="Arial"/>
          <w:b/>
          <w:bCs/>
        </w:rPr>
      </w:pPr>
      <w:r w:rsidRPr="00B55D1C">
        <w:rPr>
          <w:rFonts w:ascii="Arial" w:hAnsi="Arial" w:cs="Arial"/>
        </w:rPr>
        <w:t>Loads within Canada increased by 40 percent year-over-year.</w:t>
      </w:r>
    </w:p>
    <w:p w:rsidR="00735C21" w:rsidRPr="00B55D1C" w:rsidRDefault="00B55D1C" w:rsidP="00735C21">
      <w:pPr>
        <w:pStyle w:val="ListParagraph"/>
        <w:numPr>
          <w:ilvl w:val="1"/>
          <w:numId w:val="8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120"/>
        <w:rPr>
          <w:rFonts w:ascii="Arial" w:hAnsi="Arial" w:cs="Arial"/>
          <w:b/>
          <w:bCs/>
        </w:rPr>
      </w:pPr>
      <w:r w:rsidRPr="00B55D1C">
        <w:rPr>
          <w:rFonts w:ascii="Arial" w:hAnsi="Arial" w:cs="Arial"/>
        </w:rPr>
        <w:t>Loads for</w:t>
      </w:r>
      <w:r w:rsidR="00735C21" w:rsidRPr="00B55D1C">
        <w:rPr>
          <w:rFonts w:ascii="Arial" w:hAnsi="Arial" w:cs="Arial"/>
        </w:rPr>
        <w:t xml:space="preserve"> May 2017 is the second highest compared to all May indices since 2002. </w:t>
      </w:r>
    </w:p>
    <w:p w:rsidR="00400A05" w:rsidRPr="00B55D1C" w:rsidRDefault="00400A05" w:rsidP="00FD3691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sz w:val="22"/>
          <w:szCs w:val="22"/>
        </w:rPr>
      </w:pPr>
    </w:p>
    <w:p w:rsidR="00CF4448" w:rsidRPr="00B55D1C" w:rsidRDefault="00CF4448" w:rsidP="008D2EA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Cs/>
          <w:sz w:val="22"/>
          <w:szCs w:val="22"/>
        </w:rPr>
      </w:pPr>
      <w:r w:rsidRPr="00B55D1C">
        <w:rPr>
          <w:rFonts w:ascii="Arial" w:hAnsi="Arial" w:cs="Arial"/>
          <w:b/>
          <w:bCs/>
          <w:sz w:val="22"/>
          <w:szCs w:val="22"/>
        </w:rPr>
        <w:t xml:space="preserve">Cross-Border: </w:t>
      </w:r>
      <w:r w:rsidRPr="00B55D1C">
        <w:rPr>
          <w:rFonts w:ascii="Arial" w:hAnsi="Arial" w:cs="Arial"/>
          <w:bCs/>
          <w:sz w:val="22"/>
          <w:szCs w:val="22"/>
        </w:rPr>
        <w:t xml:space="preserve">Cross-border load postings accounted for </w:t>
      </w:r>
      <w:r w:rsidR="00974A68" w:rsidRPr="00B55D1C">
        <w:rPr>
          <w:rFonts w:ascii="Arial" w:hAnsi="Arial" w:cs="Arial"/>
          <w:bCs/>
          <w:sz w:val="22"/>
          <w:szCs w:val="22"/>
        </w:rPr>
        <w:t>7</w:t>
      </w:r>
      <w:r w:rsidR="00205EC1" w:rsidRPr="00B55D1C">
        <w:rPr>
          <w:rFonts w:ascii="Arial" w:hAnsi="Arial" w:cs="Arial"/>
          <w:bCs/>
          <w:sz w:val="22"/>
          <w:szCs w:val="22"/>
        </w:rPr>
        <w:t>0</w:t>
      </w:r>
      <w:r w:rsidR="00974A68" w:rsidRPr="00B55D1C">
        <w:rPr>
          <w:rFonts w:ascii="Arial" w:hAnsi="Arial" w:cs="Arial"/>
          <w:bCs/>
          <w:sz w:val="22"/>
          <w:szCs w:val="22"/>
        </w:rPr>
        <w:t xml:space="preserve"> </w:t>
      </w:r>
      <w:r w:rsidRPr="00B55D1C">
        <w:rPr>
          <w:rFonts w:ascii="Arial" w:hAnsi="Arial" w:cs="Arial"/>
          <w:bCs/>
          <w:sz w:val="22"/>
          <w:szCs w:val="22"/>
        </w:rPr>
        <w:t xml:space="preserve">percent of the data submitted by </w:t>
      </w:r>
      <w:proofErr w:type="spellStart"/>
      <w:r w:rsidRPr="00B55D1C">
        <w:rPr>
          <w:rFonts w:ascii="Arial" w:hAnsi="Arial" w:cs="Arial"/>
          <w:bCs/>
          <w:sz w:val="22"/>
          <w:szCs w:val="22"/>
        </w:rPr>
        <w:t>Loadlink’s</w:t>
      </w:r>
      <w:proofErr w:type="spellEnd"/>
      <w:r w:rsidRPr="00B55D1C">
        <w:rPr>
          <w:rFonts w:ascii="Arial" w:hAnsi="Arial" w:cs="Arial"/>
          <w:bCs/>
          <w:sz w:val="22"/>
          <w:szCs w:val="22"/>
        </w:rPr>
        <w:t xml:space="preserve"> Canadian-based customers</w:t>
      </w:r>
      <w:r w:rsidR="00FF7195" w:rsidRPr="00B55D1C">
        <w:rPr>
          <w:rFonts w:ascii="Arial" w:hAnsi="Arial" w:cs="Arial"/>
          <w:bCs/>
          <w:sz w:val="22"/>
          <w:szCs w:val="22"/>
        </w:rPr>
        <w:t>.</w:t>
      </w:r>
      <w:r w:rsidRPr="00B55D1C">
        <w:rPr>
          <w:rFonts w:ascii="Arial" w:hAnsi="Arial" w:cs="Arial"/>
          <w:bCs/>
          <w:sz w:val="22"/>
          <w:szCs w:val="22"/>
        </w:rPr>
        <w:t xml:space="preserve"> </w:t>
      </w:r>
    </w:p>
    <w:p w:rsidR="008370BD" w:rsidRPr="00B55D1C" w:rsidRDefault="008370BD" w:rsidP="008D2EA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Cs/>
          <w:sz w:val="22"/>
          <w:szCs w:val="22"/>
        </w:rPr>
      </w:pPr>
    </w:p>
    <w:p w:rsidR="008370BD" w:rsidRPr="00B55D1C" w:rsidRDefault="008370BD" w:rsidP="004165D0">
      <w:pPr>
        <w:numPr>
          <w:ilvl w:val="0"/>
          <w:numId w:val="9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rFonts w:ascii="Arial" w:eastAsia="Calibri" w:hAnsi="Arial" w:cs="Arial"/>
          <w:bCs/>
          <w:sz w:val="22"/>
          <w:szCs w:val="22"/>
        </w:rPr>
      </w:pPr>
      <w:r w:rsidRPr="00B55D1C">
        <w:rPr>
          <w:rFonts w:ascii="Arial" w:eastAsia="Calibri" w:hAnsi="Arial" w:cs="Arial"/>
          <w:b/>
          <w:bCs/>
          <w:sz w:val="22"/>
          <w:szCs w:val="22"/>
        </w:rPr>
        <w:t>Inbound cross border loads</w:t>
      </w:r>
      <w:r w:rsidRPr="00B55D1C">
        <w:rPr>
          <w:rFonts w:ascii="Arial" w:eastAsia="Calibri" w:hAnsi="Arial" w:cs="Arial"/>
          <w:sz w:val="22"/>
          <w:szCs w:val="22"/>
        </w:rPr>
        <w:t xml:space="preserve"> </w:t>
      </w:r>
      <w:r w:rsidR="00B55D1C" w:rsidRPr="00B55D1C">
        <w:rPr>
          <w:rFonts w:ascii="Arial" w:hAnsi="Arial" w:cs="Arial"/>
          <w:sz w:val="22"/>
          <w:szCs w:val="22"/>
        </w:rPr>
        <w:t xml:space="preserve">(from the United States to Canada) </w:t>
      </w:r>
      <w:r w:rsidRPr="00B55D1C">
        <w:rPr>
          <w:rFonts w:ascii="Arial" w:eastAsia="Calibri" w:hAnsi="Arial" w:cs="Arial"/>
          <w:sz w:val="22"/>
          <w:szCs w:val="22"/>
        </w:rPr>
        <w:t xml:space="preserve">increased </w:t>
      </w:r>
      <w:r w:rsidR="008F5322" w:rsidRPr="00B55D1C">
        <w:rPr>
          <w:rFonts w:ascii="Arial" w:eastAsia="Calibri" w:hAnsi="Arial" w:cs="Arial"/>
          <w:sz w:val="22"/>
          <w:szCs w:val="22"/>
        </w:rPr>
        <w:t>29</w:t>
      </w:r>
      <w:r w:rsidR="00480558" w:rsidRPr="00B55D1C">
        <w:rPr>
          <w:rFonts w:ascii="Arial" w:eastAsia="Calibri" w:hAnsi="Arial" w:cs="Arial"/>
          <w:sz w:val="22"/>
          <w:szCs w:val="22"/>
        </w:rPr>
        <w:t xml:space="preserve"> </w:t>
      </w:r>
      <w:r w:rsidRPr="00B55D1C">
        <w:rPr>
          <w:rFonts w:ascii="Arial" w:eastAsia="Calibri" w:hAnsi="Arial" w:cs="Arial"/>
          <w:sz w:val="22"/>
          <w:szCs w:val="22"/>
        </w:rPr>
        <w:t>percent,</w:t>
      </w:r>
      <w:r w:rsidRPr="00B55D1C">
        <w:rPr>
          <w:rFonts w:ascii="Arial" w:eastAsia="Calibri" w:hAnsi="Arial" w:cs="Arial"/>
          <w:bCs/>
          <w:sz w:val="22"/>
          <w:szCs w:val="22"/>
        </w:rPr>
        <w:t xml:space="preserve"> and </w:t>
      </w:r>
      <w:r w:rsidRPr="00B55D1C">
        <w:rPr>
          <w:rFonts w:ascii="Arial" w:eastAsia="Calibri" w:hAnsi="Arial" w:cs="Arial"/>
          <w:b/>
          <w:bCs/>
          <w:sz w:val="22"/>
          <w:szCs w:val="22"/>
        </w:rPr>
        <w:t xml:space="preserve">outbound loads </w:t>
      </w:r>
      <w:r w:rsidR="00B55D1C" w:rsidRPr="00B55D1C">
        <w:rPr>
          <w:rFonts w:ascii="Arial" w:hAnsi="Arial" w:cs="Arial"/>
          <w:sz w:val="22"/>
          <w:szCs w:val="22"/>
        </w:rPr>
        <w:t xml:space="preserve">(from Canada to the US) </w:t>
      </w:r>
      <w:r w:rsidRPr="00B55D1C">
        <w:rPr>
          <w:rFonts w:ascii="Arial" w:eastAsia="Calibri" w:hAnsi="Arial" w:cs="Arial"/>
          <w:bCs/>
          <w:sz w:val="22"/>
          <w:szCs w:val="22"/>
        </w:rPr>
        <w:t xml:space="preserve">increased </w:t>
      </w:r>
      <w:r w:rsidR="008F5322" w:rsidRPr="00B55D1C">
        <w:rPr>
          <w:rFonts w:ascii="Arial" w:eastAsia="Calibri" w:hAnsi="Arial" w:cs="Arial"/>
          <w:bCs/>
          <w:sz w:val="22"/>
          <w:szCs w:val="22"/>
        </w:rPr>
        <w:t>3</w:t>
      </w:r>
      <w:r w:rsidR="00480558" w:rsidRPr="00B55D1C">
        <w:rPr>
          <w:rFonts w:ascii="Arial" w:eastAsia="Calibri" w:hAnsi="Arial" w:cs="Arial"/>
          <w:bCs/>
          <w:sz w:val="22"/>
          <w:szCs w:val="22"/>
        </w:rPr>
        <w:t xml:space="preserve">0 </w:t>
      </w:r>
      <w:r w:rsidRPr="00B55D1C">
        <w:rPr>
          <w:rFonts w:ascii="Arial" w:eastAsia="Calibri" w:hAnsi="Arial" w:cs="Arial"/>
          <w:bCs/>
          <w:sz w:val="22"/>
          <w:szCs w:val="22"/>
        </w:rPr>
        <w:t>percent year-over-year</w:t>
      </w:r>
      <w:r w:rsidR="00F3275E" w:rsidRPr="00B55D1C">
        <w:rPr>
          <w:rFonts w:ascii="Arial" w:eastAsia="Calibri" w:hAnsi="Arial" w:cs="Arial"/>
          <w:bCs/>
          <w:sz w:val="22"/>
          <w:szCs w:val="22"/>
        </w:rPr>
        <w:t>.</w:t>
      </w:r>
      <w:r w:rsidRPr="00B55D1C">
        <w:rPr>
          <w:rFonts w:ascii="Arial" w:eastAsia="Calibri" w:hAnsi="Arial" w:cs="Arial"/>
          <w:bCs/>
          <w:sz w:val="22"/>
          <w:szCs w:val="22"/>
        </w:rPr>
        <w:t xml:space="preserve"> </w:t>
      </w:r>
    </w:p>
    <w:p w:rsidR="008370BD" w:rsidRPr="00B55D1C" w:rsidRDefault="008370BD" w:rsidP="004165D0">
      <w:pPr>
        <w:numPr>
          <w:ilvl w:val="0"/>
          <w:numId w:val="9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rFonts w:ascii="Arial" w:eastAsia="Calibri" w:hAnsi="Arial" w:cs="Arial"/>
          <w:bCs/>
          <w:sz w:val="22"/>
          <w:szCs w:val="22"/>
        </w:rPr>
      </w:pPr>
      <w:r w:rsidRPr="00B55D1C">
        <w:rPr>
          <w:rFonts w:ascii="Arial" w:eastAsia="Calibri" w:hAnsi="Arial" w:cs="Arial"/>
          <w:b/>
          <w:bCs/>
          <w:sz w:val="22"/>
          <w:szCs w:val="22"/>
        </w:rPr>
        <w:t>Inbound cross border equipment</w:t>
      </w:r>
      <w:r w:rsidRPr="00B55D1C">
        <w:rPr>
          <w:rFonts w:ascii="Arial" w:eastAsia="Calibri" w:hAnsi="Arial" w:cs="Arial"/>
          <w:bCs/>
          <w:sz w:val="22"/>
          <w:szCs w:val="22"/>
        </w:rPr>
        <w:t xml:space="preserve"> decreased </w:t>
      </w:r>
      <w:r w:rsidR="001044F5" w:rsidRPr="00B55D1C">
        <w:rPr>
          <w:rFonts w:ascii="Arial" w:eastAsia="Calibri" w:hAnsi="Arial" w:cs="Arial"/>
          <w:bCs/>
          <w:sz w:val="22"/>
          <w:szCs w:val="22"/>
        </w:rPr>
        <w:t>7</w:t>
      </w:r>
      <w:r w:rsidR="00480558" w:rsidRPr="00B55D1C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B55D1C">
        <w:rPr>
          <w:rFonts w:ascii="Arial" w:eastAsia="Calibri" w:hAnsi="Arial" w:cs="Arial"/>
          <w:bCs/>
          <w:sz w:val="22"/>
          <w:szCs w:val="22"/>
        </w:rPr>
        <w:t xml:space="preserve">percent and </w:t>
      </w:r>
      <w:r w:rsidRPr="00B55D1C">
        <w:rPr>
          <w:rFonts w:ascii="Arial" w:eastAsia="Calibri" w:hAnsi="Arial" w:cs="Arial"/>
          <w:b/>
          <w:bCs/>
          <w:sz w:val="22"/>
          <w:szCs w:val="22"/>
        </w:rPr>
        <w:t xml:space="preserve">outbound equipment </w:t>
      </w:r>
      <w:r w:rsidRPr="00B55D1C">
        <w:rPr>
          <w:rFonts w:ascii="Arial" w:eastAsia="Calibri" w:hAnsi="Arial" w:cs="Arial"/>
          <w:bCs/>
          <w:sz w:val="22"/>
          <w:szCs w:val="22"/>
        </w:rPr>
        <w:t xml:space="preserve">decreased </w:t>
      </w:r>
      <w:r w:rsidR="008F5322" w:rsidRPr="00B55D1C">
        <w:rPr>
          <w:rFonts w:ascii="Arial" w:eastAsia="Calibri" w:hAnsi="Arial" w:cs="Arial"/>
          <w:bCs/>
          <w:sz w:val="22"/>
          <w:szCs w:val="22"/>
        </w:rPr>
        <w:t>5</w:t>
      </w:r>
      <w:r w:rsidR="00480558" w:rsidRPr="00B55D1C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B55D1C">
        <w:rPr>
          <w:rFonts w:ascii="Arial" w:eastAsia="Calibri" w:hAnsi="Arial" w:cs="Arial"/>
          <w:bCs/>
          <w:sz w:val="22"/>
          <w:szCs w:val="22"/>
        </w:rPr>
        <w:t>percent</w:t>
      </w:r>
      <w:r w:rsidR="00F3275E" w:rsidRPr="00B55D1C">
        <w:rPr>
          <w:rFonts w:ascii="Arial" w:eastAsia="Calibri" w:hAnsi="Arial" w:cs="Arial"/>
          <w:bCs/>
          <w:sz w:val="22"/>
          <w:szCs w:val="22"/>
        </w:rPr>
        <w:t>.</w:t>
      </w:r>
      <w:r w:rsidRPr="00B55D1C">
        <w:rPr>
          <w:rFonts w:ascii="Arial" w:eastAsia="Calibri" w:hAnsi="Arial" w:cs="Arial"/>
          <w:bCs/>
          <w:sz w:val="22"/>
          <w:szCs w:val="22"/>
        </w:rPr>
        <w:t xml:space="preserve"> </w:t>
      </w:r>
    </w:p>
    <w:p w:rsidR="008370BD" w:rsidRPr="00B55D1C" w:rsidRDefault="008370BD" w:rsidP="004A0343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rFonts w:ascii="Arial" w:hAnsi="Arial" w:cs="Arial"/>
          <w:b/>
          <w:bCs/>
          <w:sz w:val="22"/>
          <w:szCs w:val="22"/>
        </w:rPr>
      </w:pPr>
    </w:p>
    <w:p w:rsidR="00CF4448" w:rsidRPr="00B55D1C" w:rsidRDefault="00CF4448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B55D1C">
        <w:rPr>
          <w:rFonts w:ascii="Arial" w:hAnsi="Arial" w:cs="Arial"/>
          <w:b/>
          <w:bCs/>
          <w:sz w:val="22"/>
          <w:szCs w:val="22"/>
        </w:rPr>
        <w:t>Cross Border Loads into Canada</w:t>
      </w:r>
      <w:r w:rsidR="00D80E56" w:rsidRPr="00B55D1C">
        <w:rPr>
          <w:rFonts w:ascii="Arial" w:hAnsi="Arial" w:cs="Arial"/>
          <w:b/>
          <w:bCs/>
          <w:sz w:val="22"/>
          <w:szCs w:val="22"/>
        </w:rPr>
        <w:t xml:space="preserve"> b</w:t>
      </w:r>
      <w:r w:rsidRPr="00B55D1C">
        <w:rPr>
          <w:rFonts w:ascii="Arial" w:hAnsi="Arial" w:cs="Arial"/>
          <w:b/>
          <w:bCs/>
          <w:sz w:val="22"/>
          <w:szCs w:val="22"/>
        </w:rPr>
        <w:t xml:space="preserve">y Region of </w:t>
      </w:r>
      <w:r w:rsidRPr="00B55D1C">
        <w:rPr>
          <w:rFonts w:ascii="Arial" w:hAnsi="Arial" w:cs="Arial"/>
          <w:b/>
          <w:bCs/>
          <w:i/>
          <w:sz w:val="22"/>
          <w:szCs w:val="22"/>
        </w:rPr>
        <w:t>Destination</w:t>
      </w:r>
      <w:r w:rsidRPr="00B55D1C">
        <w:rPr>
          <w:rFonts w:ascii="Arial" w:hAnsi="Arial" w:cs="Arial"/>
          <w:b/>
          <w:bCs/>
          <w:sz w:val="22"/>
          <w:szCs w:val="22"/>
        </w:rPr>
        <w:t>:</w:t>
      </w:r>
    </w:p>
    <w:p w:rsidR="00CF4448" w:rsidRPr="00B55D1C" w:rsidRDefault="00CF4448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ascii="Arial" w:hAnsi="Arial" w:cs="Arial"/>
          <w:bCs/>
          <w:sz w:val="22"/>
          <w:szCs w:val="22"/>
        </w:rPr>
      </w:pPr>
      <w:r w:rsidRPr="00B55D1C">
        <w:rPr>
          <w:rFonts w:ascii="Arial" w:hAnsi="Arial" w:cs="Arial"/>
          <w:bCs/>
          <w:sz w:val="22"/>
          <w:szCs w:val="22"/>
        </w:rPr>
        <w:t xml:space="preserve">Ontario </w:t>
      </w:r>
      <w:r w:rsidR="002F3D0F" w:rsidRPr="00B55D1C">
        <w:rPr>
          <w:rFonts w:ascii="Arial" w:hAnsi="Arial" w:cs="Arial"/>
          <w:bCs/>
          <w:sz w:val="22"/>
          <w:szCs w:val="22"/>
        </w:rPr>
        <w:t>5</w:t>
      </w:r>
      <w:r w:rsidR="008F5322" w:rsidRPr="00B55D1C">
        <w:rPr>
          <w:rFonts w:ascii="Arial" w:hAnsi="Arial" w:cs="Arial"/>
          <w:bCs/>
          <w:sz w:val="22"/>
          <w:szCs w:val="22"/>
        </w:rPr>
        <w:t>7</w:t>
      </w:r>
      <w:r w:rsidR="002F3D0F" w:rsidRPr="00B55D1C">
        <w:rPr>
          <w:rFonts w:ascii="Arial" w:hAnsi="Arial" w:cs="Arial"/>
          <w:bCs/>
          <w:sz w:val="22"/>
          <w:szCs w:val="22"/>
        </w:rPr>
        <w:t xml:space="preserve"> </w:t>
      </w:r>
      <w:r w:rsidRPr="00B55D1C">
        <w:rPr>
          <w:rFonts w:ascii="Arial" w:hAnsi="Arial" w:cs="Arial"/>
          <w:bCs/>
          <w:sz w:val="22"/>
          <w:szCs w:val="22"/>
        </w:rPr>
        <w:t>percent</w:t>
      </w:r>
    </w:p>
    <w:p w:rsidR="00CF4448" w:rsidRPr="00B55D1C" w:rsidRDefault="00CF4448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ascii="Arial" w:hAnsi="Arial" w:cs="Arial"/>
          <w:bCs/>
          <w:sz w:val="22"/>
          <w:szCs w:val="22"/>
        </w:rPr>
      </w:pPr>
      <w:r w:rsidRPr="00B55D1C">
        <w:rPr>
          <w:rFonts w:ascii="Arial" w:hAnsi="Arial" w:cs="Arial"/>
          <w:bCs/>
          <w:sz w:val="22"/>
          <w:szCs w:val="22"/>
        </w:rPr>
        <w:t xml:space="preserve">Western </w:t>
      </w:r>
      <w:r w:rsidR="002F3D0F" w:rsidRPr="00B55D1C">
        <w:rPr>
          <w:rFonts w:ascii="Arial" w:hAnsi="Arial" w:cs="Arial"/>
          <w:bCs/>
          <w:sz w:val="22"/>
          <w:szCs w:val="22"/>
        </w:rPr>
        <w:t>2</w:t>
      </w:r>
      <w:r w:rsidR="00504AF4" w:rsidRPr="00B55D1C">
        <w:rPr>
          <w:rFonts w:ascii="Arial" w:hAnsi="Arial" w:cs="Arial"/>
          <w:bCs/>
          <w:sz w:val="22"/>
          <w:szCs w:val="22"/>
        </w:rPr>
        <w:t>3</w:t>
      </w:r>
      <w:r w:rsidR="002F3D0F" w:rsidRPr="00B55D1C">
        <w:rPr>
          <w:rFonts w:ascii="Arial" w:hAnsi="Arial" w:cs="Arial"/>
          <w:bCs/>
          <w:sz w:val="22"/>
          <w:szCs w:val="22"/>
        </w:rPr>
        <w:t xml:space="preserve"> </w:t>
      </w:r>
      <w:r w:rsidRPr="00B55D1C">
        <w:rPr>
          <w:rFonts w:ascii="Arial" w:hAnsi="Arial" w:cs="Arial"/>
          <w:bCs/>
          <w:sz w:val="22"/>
          <w:szCs w:val="22"/>
        </w:rPr>
        <w:t>percent</w:t>
      </w:r>
    </w:p>
    <w:p w:rsidR="00CF4448" w:rsidRPr="00B55D1C" w:rsidRDefault="00CF4448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ascii="Arial" w:hAnsi="Arial" w:cs="Arial"/>
          <w:bCs/>
          <w:sz w:val="22"/>
          <w:szCs w:val="22"/>
        </w:rPr>
      </w:pPr>
      <w:r w:rsidRPr="00B55D1C">
        <w:rPr>
          <w:rFonts w:ascii="Arial" w:hAnsi="Arial" w:cs="Arial"/>
          <w:bCs/>
          <w:sz w:val="22"/>
          <w:szCs w:val="22"/>
        </w:rPr>
        <w:t xml:space="preserve">Quebec </w:t>
      </w:r>
      <w:r w:rsidR="00203D8B" w:rsidRPr="00B55D1C">
        <w:rPr>
          <w:rFonts w:ascii="Arial" w:hAnsi="Arial" w:cs="Arial"/>
          <w:bCs/>
          <w:sz w:val="22"/>
          <w:szCs w:val="22"/>
        </w:rPr>
        <w:t>1</w:t>
      </w:r>
      <w:r w:rsidR="008F5322" w:rsidRPr="00B55D1C">
        <w:rPr>
          <w:rFonts w:ascii="Arial" w:hAnsi="Arial" w:cs="Arial"/>
          <w:bCs/>
          <w:sz w:val="22"/>
          <w:szCs w:val="22"/>
        </w:rPr>
        <w:t>8</w:t>
      </w:r>
      <w:r w:rsidR="00203D8B" w:rsidRPr="00B55D1C">
        <w:rPr>
          <w:rFonts w:ascii="Arial" w:hAnsi="Arial" w:cs="Arial"/>
          <w:bCs/>
          <w:sz w:val="22"/>
          <w:szCs w:val="22"/>
        </w:rPr>
        <w:t xml:space="preserve"> </w:t>
      </w:r>
      <w:r w:rsidRPr="00B55D1C">
        <w:rPr>
          <w:rFonts w:ascii="Arial" w:hAnsi="Arial" w:cs="Arial"/>
          <w:bCs/>
          <w:sz w:val="22"/>
          <w:szCs w:val="22"/>
        </w:rPr>
        <w:t>percent</w:t>
      </w:r>
    </w:p>
    <w:p w:rsidR="00CF4448" w:rsidRPr="00B55D1C" w:rsidRDefault="00CF4448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ascii="Arial" w:hAnsi="Arial" w:cs="Arial"/>
          <w:bCs/>
          <w:sz w:val="22"/>
          <w:szCs w:val="22"/>
        </w:rPr>
      </w:pPr>
      <w:r w:rsidRPr="00B55D1C">
        <w:rPr>
          <w:rFonts w:ascii="Arial" w:hAnsi="Arial" w:cs="Arial"/>
          <w:bCs/>
          <w:sz w:val="22"/>
          <w:szCs w:val="22"/>
        </w:rPr>
        <w:t xml:space="preserve">Atlantic </w:t>
      </w:r>
      <w:r w:rsidR="00504AF4" w:rsidRPr="00B55D1C">
        <w:rPr>
          <w:rFonts w:ascii="Arial" w:hAnsi="Arial" w:cs="Arial"/>
          <w:bCs/>
          <w:sz w:val="22"/>
          <w:szCs w:val="22"/>
        </w:rPr>
        <w:t>2</w:t>
      </w:r>
      <w:r w:rsidR="00FD3691" w:rsidRPr="00B55D1C">
        <w:rPr>
          <w:rFonts w:ascii="Arial" w:hAnsi="Arial" w:cs="Arial"/>
          <w:bCs/>
          <w:sz w:val="22"/>
          <w:szCs w:val="22"/>
        </w:rPr>
        <w:t xml:space="preserve"> </w:t>
      </w:r>
      <w:r w:rsidRPr="00B55D1C">
        <w:rPr>
          <w:rFonts w:ascii="Arial" w:hAnsi="Arial" w:cs="Arial"/>
          <w:bCs/>
          <w:sz w:val="22"/>
          <w:szCs w:val="22"/>
        </w:rPr>
        <w:t>percent</w:t>
      </w:r>
    </w:p>
    <w:p w:rsidR="00CF4448" w:rsidRPr="00B55D1C" w:rsidRDefault="00CF4448" w:rsidP="00CF44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240"/>
        <w:contextualSpacing/>
        <w:rPr>
          <w:rFonts w:ascii="Arial" w:hAnsi="Arial" w:cs="Arial"/>
          <w:b/>
          <w:bCs/>
          <w:sz w:val="22"/>
          <w:szCs w:val="22"/>
        </w:rPr>
      </w:pPr>
    </w:p>
    <w:p w:rsidR="00CF4448" w:rsidRPr="00B55D1C" w:rsidRDefault="00CF4448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="Arial" w:hAnsi="Arial" w:cs="Arial"/>
          <w:b/>
          <w:bCs/>
          <w:sz w:val="22"/>
          <w:szCs w:val="22"/>
        </w:rPr>
      </w:pPr>
      <w:r w:rsidRPr="00B55D1C">
        <w:rPr>
          <w:rFonts w:ascii="Arial" w:hAnsi="Arial" w:cs="Arial"/>
          <w:b/>
          <w:bCs/>
          <w:sz w:val="22"/>
          <w:szCs w:val="22"/>
        </w:rPr>
        <w:t>Cross Border Equipment into Canada</w:t>
      </w:r>
      <w:r w:rsidR="00D80E56" w:rsidRPr="00B55D1C">
        <w:rPr>
          <w:rFonts w:ascii="Arial" w:hAnsi="Arial" w:cs="Arial"/>
          <w:b/>
          <w:bCs/>
          <w:sz w:val="22"/>
          <w:szCs w:val="22"/>
        </w:rPr>
        <w:t xml:space="preserve"> b</w:t>
      </w:r>
      <w:r w:rsidRPr="00B55D1C">
        <w:rPr>
          <w:rFonts w:ascii="Arial" w:hAnsi="Arial" w:cs="Arial"/>
          <w:b/>
          <w:bCs/>
          <w:sz w:val="22"/>
          <w:szCs w:val="22"/>
        </w:rPr>
        <w:t xml:space="preserve">y Region of </w:t>
      </w:r>
      <w:r w:rsidRPr="00B55D1C">
        <w:rPr>
          <w:rFonts w:ascii="Arial" w:hAnsi="Arial" w:cs="Arial"/>
          <w:b/>
          <w:bCs/>
          <w:i/>
          <w:sz w:val="22"/>
          <w:szCs w:val="22"/>
        </w:rPr>
        <w:t>Destination</w:t>
      </w:r>
      <w:r w:rsidRPr="00B55D1C">
        <w:rPr>
          <w:rFonts w:ascii="Arial" w:hAnsi="Arial" w:cs="Arial"/>
          <w:b/>
          <w:bCs/>
          <w:sz w:val="22"/>
          <w:szCs w:val="22"/>
        </w:rPr>
        <w:t>:</w:t>
      </w:r>
    </w:p>
    <w:p w:rsidR="00CF4448" w:rsidRPr="00B55D1C" w:rsidRDefault="00CF4448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ascii="Arial" w:hAnsi="Arial" w:cs="Arial"/>
          <w:bCs/>
          <w:sz w:val="22"/>
          <w:szCs w:val="22"/>
        </w:rPr>
      </w:pPr>
      <w:r w:rsidRPr="00B55D1C">
        <w:rPr>
          <w:rFonts w:ascii="Arial" w:hAnsi="Arial" w:cs="Arial"/>
          <w:bCs/>
          <w:sz w:val="22"/>
          <w:szCs w:val="22"/>
        </w:rPr>
        <w:t xml:space="preserve">Ontario </w:t>
      </w:r>
      <w:r w:rsidR="00BF7BCD" w:rsidRPr="00B55D1C">
        <w:rPr>
          <w:rFonts w:ascii="Arial" w:hAnsi="Arial" w:cs="Arial"/>
          <w:bCs/>
          <w:sz w:val="22"/>
          <w:szCs w:val="22"/>
        </w:rPr>
        <w:t>4</w:t>
      </w:r>
      <w:r w:rsidR="00B55D1C">
        <w:rPr>
          <w:rFonts w:ascii="Arial" w:hAnsi="Arial" w:cs="Arial"/>
          <w:bCs/>
          <w:sz w:val="22"/>
          <w:szCs w:val="22"/>
        </w:rPr>
        <w:t>7</w:t>
      </w:r>
      <w:r w:rsidRPr="00B55D1C">
        <w:rPr>
          <w:rFonts w:ascii="Arial" w:hAnsi="Arial" w:cs="Arial"/>
          <w:bCs/>
          <w:sz w:val="22"/>
          <w:szCs w:val="22"/>
        </w:rPr>
        <w:t xml:space="preserve"> percent</w:t>
      </w:r>
    </w:p>
    <w:p w:rsidR="00CF4448" w:rsidRPr="00B55D1C" w:rsidRDefault="00CF4448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ascii="Arial" w:hAnsi="Arial" w:cs="Arial"/>
          <w:bCs/>
          <w:sz w:val="22"/>
          <w:szCs w:val="22"/>
        </w:rPr>
      </w:pPr>
      <w:r w:rsidRPr="00B55D1C">
        <w:rPr>
          <w:rFonts w:ascii="Arial" w:hAnsi="Arial" w:cs="Arial"/>
          <w:bCs/>
          <w:sz w:val="22"/>
          <w:szCs w:val="22"/>
        </w:rPr>
        <w:t xml:space="preserve">Western </w:t>
      </w:r>
      <w:r w:rsidR="00504AF4" w:rsidRPr="00B55D1C">
        <w:rPr>
          <w:rFonts w:ascii="Arial" w:hAnsi="Arial" w:cs="Arial"/>
          <w:bCs/>
          <w:sz w:val="22"/>
          <w:szCs w:val="22"/>
        </w:rPr>
        <w:t>30</w:t>
      </w:r>
      <w:r w:rsidR="00203D8B" w:rsidRPr="00B55D1C">
        <w:rPr>
          <w:rFonts w:ascii="Arial" w:hAnsi="Arial" w:cs="Arial"/>
          <w:bCs/>
          <w:sz w:val="22"/>
          <w:szCs w:val="22"/>
        </w:rPr>
        <w:t xml:space="preserve"> </w:t>
      </w:r>
      <w:r w:rsidR="00AF09E9" w:rsidRPr="00B55D1C">
        <w:rPr>
          <w:rFonts w:ascii="Arial" w:hAnsi="Arial" w:cs="Arial"/>
          <w:bCs/>
          <w:sz w:val="22"/>
          <w:szCs w:val="22"/>
        </w:rPr>
        <w:t>p</w:t>
      </w:r>
      <w:r w:rsidRPr="00B55D1C">
        <w:rPr>
          <w:rFonts w:ascii="Arial" w:hAnsi="Arial" w:cs="Arial"/>
          <w:bCs/>
          <w:sz w:val="22"/>
          <w:szCs w:val="22"/>
        </w:rPr>
        <w:t>ercent</w:t>
      </w:r>
    </w:p>
    <w:p w:rsidR="00CF4448" w:rsidRPr="00B55D1C" w:rsidRDefault="00CF4448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ascii="Arial" w:hAnsi="Arial" w:cs="Arial"/>
          <w:bCs/>
          <w:sz w:val="22"/>
          <w:szCs w:val="22"/>
        </w:rPr>
      </w:pPr>
      <w:r w:rsidRPr="00B55D1C">
        <w:rPr>
          <w:rFonts w:ascii="Arial" w:hAnsi="Arial" w:cs="Arial"/>
          <w:bCs/>
          <w:sz w:val="22"/>
          <w:szCs w:val="22"/>
        </w:rPr>
        <w:t xml:space="preserve">Quebec </w:t>
      </w:r>
      <w:r w:rsidR="00112898">
        <w:rPr>
          <w:rFonts w:ascii="Arial" w:hAnsi="Arial" w:cs="Arial"/>
          <w:bCs/>
          <w:sz w:val="22"/>
          <w:szCs w:val="22"/>
        </w:rPr>
        <w:t>19</w:t>
      </w:r>
      <w:r w:rsidR="00203D8B" w:rsidRPr="00B55D1C">
        <w:rPr>
          <w:rFonts w:ascii="Arial" w:hAnsi="Arial" w:cs="Arial"/>
          <w:bCs/>
          <w:sz w:val="22"/>
          <w:szCs w:val="22"/>
        </w:rPr>
        <w:t xml:space="preserve"> </w:t>
      </w:r>
      <w:r w:rsidRPr="00B55D1C">
        <w:rPr>
          <w:rFonts w:ascii="Arial" w:hAnsi="Arial" w:cs="Arial"/>
          <w:bCs/>
          <w:sz w:val="22"/>
          <w:szCs w:val="22"/>
        </w:rPr>
        <w:t>percent</w:t>
      </w:r>
    </w:p>
    <w:p w:rsidR="00CF4448" w:rsidRPr="00B55D1C" w:rsidRDefault="00CF4448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ascii="Arial" w:hAnsi="Arial" w:cs="Arial"/>
          <w:bCs/>
          <w:sz w:val="22"/>
          <w:szCs w:val="22"/>
        </w:rPr>
      </w:pPr>
      <w:r w:rsidRPr="00B55D1C">
        <w:rPr>
          <w:rFonts w:ascii="Arial" w:hAnsi="Arial" w:cs="Arial"/>
          <w:bCs/>
          <w:sz w:val="22"/>
          <w:szCs w:val="22"/>
        </w:rPr>
        <w:t xml:space="preserve">Atlantic </w:t>
      </w:r>
      <w:r w:rsidR="00FD3691" w:rsidRPr="00B55D1C">
        <w:rPr>
          <w:rFonts w:ascii="Arial" w:hAnsi="Arial" w:cs="Arial"/>
          <w:bCs/>
          <w:sz w:val="22"/>
          <w:szCs w:val="22"/>
        </w:rPr>
        <w:t>4</w:t>
      </w:r>
      <w:r w:rsidRPr="00B55D1C">
        <w:rPr>
          <w:rFonts w:ascii="Arial" w:hAnsi="Arial" w:cs="Arial"/>
          <w:bCs/>
          <w:sz w:val="22"/>
          <w:szCs w:val="22"/>
        </w:rPr>
        <w:t xml:space="preserve"> percent</w:t>
      </w:r>
    </w:p>
    <w:p w:rsidR="00CF4448" w:rsidRPr="00B55D1C" w:rsidRDefault="00CF4448" w:rsidP="00CF44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="Arial" w:hAnsi="Arial" w:cs="Arial"/>
          <w:b/>
          <w:bCs/>
          <w:sz w:val="22"/>
          <w:szCs w:val="22"/>
        </w:rPr>
      </w:pPr>
    </w:p>
    <w:p w:rsidR="00CF4448" w:rsidRPr="00B55D1C" w:rsidRDefault="00CF4448" w:rsidP="003562D1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 w:rsidRPr="00B55D1C">
        <w:rPr>
          <w:rFonts w:ascii="Arial" w:hAnsi="Arial" w:cs="Arial"/>
          <w:b/>
          <w:bCs/>
          <w:sz w:val="22"/>
          <w:szCs w:val="22"/>
        </w:rPr>
        <w:t xml:space="preserve">Intra-Canada: </w:t>
      </w:r>
      <w:r w:rsidRPr="00B55D1C">
        <w:rPr>
          <w:rFonts w:ascii="Arial" w:hAnsi="Arial" w:cs="Arial"/>
          <w:bCs/>
          <w:sz w:val="22"/>
          <w:szCs w:val="22"/>
        </w:rPr>
        <w:t xml:space="preserve">Postings accounted for </w:t>
      </w:r>
      <w:r w:rsidR="00974A68" w:rsidRPr="00B55D1C">
        <w:rPr>
          <w:rFonts w:ascii="Arial" w:hAnsi="Arial" w:cs="Arial"/>
          <w:bCs/>
          <w:sz w:val="22"/>
          <w:szCs w:val="22"/>
        </w:rPr>
        <w:t>2</w:t>
      </w:r>
      <w:r w:rsidR="00480558" w:rsidRPr="00B55D1C">
        <w:rPr>
          <w:rFonts w:ascii="Arial" w:hAnsi="Arial" w:cs="Arial"/>
          <w:bCs/>
          <w:sz w:val="22"/>
          <w:szCs w:val="22"/>
        </w:rPr>
        <w:t>7</w:t>
      </w:r>
      <w:r w:rsidR="00974A68" w:rsidRPr="00B55D1C">
        <w:rPr>
          <w:rFonts w:ascii="Arial" w:hAnsi="Arial" w:cs="Arial"/>
          <w:bCs/>
          <w:sz w:val="22"/>
          <w:szCs w:val="22"/>
        </w:rPr>
        <w:t xml:space="preserve"> </w:t>
      </w:r>
      <w:r w:rsidRPr="00B55D1C">
        <w:rPr>
          <w:rFonts w:ascii="Arial" w:hAnsi="Arial" w:cs="Arial"/>
          <w:bCs/>
          <w:sz w:val="22"/>
          <w:szCs w:val="22"/>
        </w:rPr>
        <w:t xml:space="preserve">percent of the data submitted by </w:t>
      </w:r>
      <w:proofErr w:type="spellStart"/>
      <w:r w:rsidRPr="00B55D1C">
        <w:rPr>
          <w:rFonts w:ascii="Arial" w:hAnsi="Arial" w:cs="Arial"/>
          <w:bCs/>
          <w:sz w:val="22"/>
          <w:szCs w:val="22"/>
        </w:rPr>
        <w:t>Loadlink’s</w:t>
      </w:r>
      <w:proofErr w:type="spellEnd"/>
      <w:r w:rsidRPr="00B55D1C">
        <w:rPr>
          <w:rFonts w:ascii="Arial" w:hAnsi="Arial" w:cs="Arial"/>
          <w:bCs/>
          <w:sz w:val="22"/>
          <w:szCs w:val="22"/>
        </w:rPr>
        <w:t xml:space="preserve"> Canadian-based customers</w:t>
      </w:r>
      <w:r w:rsidR="00727EB2" w:rsidRPr="00B55D1C">
        <w:rPr>
          <w:rFonts w:ascii="Arial" w:hAnsi="Arial" w:cs="Arial"/>
          <w:bCs/>
          <w:sz w:val="22"/>
          <w:szCs w:val="22"/>
        </w:rPr>
        <w:t>.</w:t>
      </w:r>
    </w:p>
    <w:p w:rsidR="00CF4448" w:rsidRPr="00B55D1C" w:rsidRDefault="00CF4448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rPr>
          <w:rFonts w:ascii="Arial" w:hAnsi="Arial" w:cs="Arial"/>
          <w:b/>
          <w:bCs/>
          <w:sz w:val="22"/>
          <w:szCs w:val="22"/>
        </w:rPr>
      </w:pPr>
      <w:r w:rsidRPr="00B55D1C">
        <w:rPr>
          <w:rFonts w:ascii="Arial" w:hAnsi="Arial" w:cs="Arial"/>
          <w:b/>
          <w:bCs/>
          <w:sz w:val="22"/>
          <w:szCs w:val="22"/>
        </w:rPr>
        <w:t>Loads within Canada: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354"/>
      </w:tblGrid>
      <w:tr w:rsidR="00B52734" w:rsidRPr="00B55D1C" w:rsidTr="004165D0">
        <w:tc>
          <w:tcPr>
            <w:tcW w:w="3330" w:type="dxa"/>
          </w:tcPr>
          <w:p w:rsidR="00B52734" w:rsidRPr="00B55D1C" w:rsidRDefault="00B52734" w:rsidP="004A0343">
            <w:pPr>
              <w:numPr>
                <w:ilvl w:val="0"/>
                <w:numId w:val="1"/>
              </w:numPr>
              <w:tabs>
                <w:tab w:val="left" w:pos="3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b/>
                <w:bCs/>
              </w:rPr>
            </w:pPr>
            <w:r w:rsidRPr="00B55D1C">
              <w:rPr>
                <w:rFonts w:ascii="Arial" w:hAnsi="Arial" w:cs="Arial"/>
                <w:b/>
                <w:bCs/>
              </w:rPr>
              <w:t xml:space="preserve">By Region of </w:t>
            </w:r>
            <w:r w:rsidRPr="00B55D1C">
              <w:rPr>
                <w:rFonts w:ascii="Arial" w:hAnsi="Arial" w:cs="Arial"/>
                <w:b/>
                <w:bCs/>
                <w:i/>
              </w:rPr>
              <w:t>Origin</w:t>
            </w:r>
            <w:r w:rsidRPr="00B55D1C">
              <w:rPr>
                <w:rFonts w:ascii="Arial" w:hAnsi="Arial" w:cs="Arial"/>
                <w:b/>
                <w:bCs/>
              </w:rPr>
              <w:t xml:space="preserve"> </w:t>
            </w:r>
          </w:p>
          <w:p w:rsidR="00B52734" w:rsidRPr="00B55D1C" w:rsidRDefault="00B52734" w:rsidP="004165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360"/>
              <w:rPr>
                <w:rFonts w:ascii="Arial" w:hAnsi="Arial" w:cs="Arial"/>
                <w:bCs/>
              </w:rPr>
            </w:pPr>
            <w:r w:rsidRPr="00B55D1C">
              <w:rPr>
                <w:rFonts w:ascii="Arial" w:hAnsi="Arial" w:cs="Arial"/>
                <w:bCs/>
              </w:rPr>
              <w:t xml:space="preserve">Western </w:t>
            </w:r>
            <w:r w:rsidR="00D46F82" w:rsidRPr="00B55D1C">
              <w:rPr>
                <w:rFonts w:ascii="Arial" w:hAnsi="Arial" w:cs="Arial"/>
                <w:bCs/>
              </w:rPr>
              <w:t>35</w:t>
            </w:r>
            <w:r w:rsidR="002F3D0F" w:rsidRPr="00B55D1C">
              <w:rPr>
                <w:rFonts w:ascii="Arial" w:hAnsi="Arial" w:cs="Arial"/>
                <w:bCs/>
              </w:rPr>
              <w:t xml:space="preserve"> </w:t>
            </w:r>
            <w:r w:rsidRPr="00B55D1C">
              <w:rPr>
                <w:rFonts w:ascii="Arial" w:hAnsi="Arial" w:cs="Arial"/>
                <w:bCs/>
              </w:rPr>
              <w:t>percent</w:t>
            </w:r>
          </w:p>
          <w:p w:rsidR="00B52734" w:rsidRPr="00B55D1C" w:rsidRDefault="00B52734" w:rsidP="004165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360"/>
              <w:rPr>
                <w:rFonts w:ascii="Arial" w:hAnsi="Arial" w:cs="Arial"/>
                <w:b/>
                <w:bCs/>
              </w:rPr>
            </w:pPr>
            <w:r w:rsidRPr="00B55D1C">
              <w:rPr>
                <w:rFonts w:ascii="Arial" w:hAnsi="Arial" w:cs="Arial"/>
                <w:bCs/>
              </w:rPr>
              <w:t xml:space="preserve">Ontario </w:t>
            </w:r>
            <w:r w:rsidR="002F3D0F" w:rsidRPr="00B55D1C">
              <w:rPr>
                <w:rFonts w:ascii="Arial" w:hAnsi="Arial" w:cs="Arial"/>
                <w:bCs/>
              </w:rPr>
              <w:t>3</w:t>
            </w:r>
            <w:r w:rsidR="00D46F82" w:rsidRPr="00B55D1C">
              <w:rPr>
                <w:rFonts w:ascii="Arial" w:hAnsi="Arial" w:cs="Arial"/>
                <w:bCs/>
              </w:rPr>
              <w:t>6</w:t>
            </w:r>
            <w:r w:rsidR="002F3D0F" w:rsidRPr="00B55D1C">
              <w:rPr>
                <w:rFonts w:ascii="Arial" w:hAnsi="Arial" w:cs="Arial"/>
                <w:bCs/>
              </w:rPr>
              <w:t xml:space="preserve"> </w:t>
            </w:r>
            <w:r w:rsidRPr="00B55D1C">
              <w:rPr>
                <w:rFonts w:ascii="Arial" w:hAnsi="Arial" w:cs="Arial"/>
                <w:bCs/>
              </w:rPr>
              <w:t>percent</w:t>
            </w:r>
          </w:p>
          <w:p w:rsidR="00B52734" w:rsidRPr="00B55D1C" w:rsidRDefault="00B52734" w:rsidP="004165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360"/>
              <w:rPr>
                <w:rFonts w:ascii="Arial" w:hAnsi="Arial" w:cs="Arial"/>
                <w:b/>
                <w:bCs/>
              </w:rPr>
            </w:pPr>
            <w:r w:rsidRPr="00B55D1C">
              <w:rPr>
                <w:rFonts w:ascii="Arial" w:hAnsi="Arial" w:cs="Arial"/>
                <w:bCs/>
              </w:rPr>
              <w:t xml:space="preserve">Quebec </w:t>
            </w:r>
            <w:r w:rsidR="00D46F82" w:rsidRPr="00B55D1C">
              <w:rPr>
                <w:rFonts w:ascii="Arial" w:hAnsi="Arial" w:cs="Arial"/>
                <w:bCs/>
              </w:rPr>
              <w:t>22</w:t>
            </w:r>
            <w:r w:rsidR="002F3D0F" w:rsidRPr="00B55D1C">
              <w:rPr>
                <w:rFonts w:ascii="Arial" w:hAnsi="Arial" w:cs="Arial"/>
                <w:bCs/>
              </w:rPr>
              <w:t xml:space="preserve"> </w:t>
            </w:r>
            <w:r w:rsidRPr="00B55D1C">
              <w:rPr>
                <w:rFonts w:ascii="Arial" w:hAnsi="Arial" w:cs="Arial"/>
                <w:bCs/>
              </w:rPr>
              <w:t>percent</w:t>
            </w:r>
          </w:p>
          <w:p w:rsidR="00B52734" w:rsidRPr="00B55D1C" w:rsidRDefault="00B52734" w:rsidP="004165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360"/>
              <w:rPr>
                <w:rFonts w:ascii="Arial" w:hAnsi="Arial" w:cs="Arial"/>
                <w:b/>
                <w:bCs/>
              </w:rPr>
            </w:pPr>
            <w:r w:rsidRPr="00B55D1C">
              <w:rPr>
                <w:rFonts w:ascii="Arial" w:hAnsi="Arial" w:cs="Arial"/>
                <w:bCs/>
              </w:rPr>
              <w:t>Atlantic</w:t>
            </w:r>
            <w:r w:rsidR="007E3169" w:rsidRPr="00B55D1C">
              <w:rPr>
                <w:rFonts w:ascii="Arial" w:hAnsi="Arial" w:cs="Arial"/>
                <w:bCs/>
              </w:rPr>
              <w:t xml:space="preserve"> </w:t>
            </w:r>
            <w:r w:rsidR="00D46F82" w:rsidRPr="00B55D1C">
              <w:rPr>
                <w:rFonts w:ascii="Arial" w:hAnsi="Arial" w:cs="Arial"/>
                <w:bCs/>
              </w:rPr>
              <w:t>7</w:t>
            </w:r>
            <w:r w:rsidR="00A62CFD" w:rsidRPr="00B55D1C">
              <w:rPr>
                <w:rFonts w:ascii="Arial" w:hAnsi="Arial" w:cs="Arial"/>
                <w:bCs/>
              </w:rPr>
              <w:t xml:space="preserve"> </w:t>
            </w:r>
            <w:r w:rsidRPr="00B55D1C">
              <w:rPr>
                <w:rFonts w:ascii="Arial" w:hAnsi="Arial" w:cs="Arial"/>
                <w:bCs/>
              </w:rPr>
              <w:t>percent</w:t>
            </w:r>
          </w:p>
          <w:p w:rsidR="00B52734" w:rsidRPr="00B55D1C" w:rsidRDefault="00B52734" w:rsidP="004A03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hanging="14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54" w:type="dxa"/>
          </w:tcPr>
          <w:p w:rsidR="00B52734" w:rsidRPr="00B55D1C" w:rsidRDefault="00B52734" w:rsidP="004A0343">
            <w:pPr>
              <w:numPr>
                <w:ilvl w:val="0"/>
                <w:numId w:val="1"/>
              </w:numPr>
              <w:tabs>
                <w:tab w:val="left" w:pos="3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b/>
                <w:bCs/>
              </w:rPr>
            </w:pPr>
            <w:r w:rsidRPr="00B55D1C">
              <w:rPr>
                <w:rFonts w:ascii="Arial" w:hAnsi="Arial" w:cs="Arial"/>
                <w:b/>
                <w:bCs/>
              </w:rPr>
              <w:t>By Region of Destination</w:t>
            </w:r>
          </w:p>
          <w:p w:rsidR="00B52734" w:rsidRPr="00B55D1C" w:rsidRDefault="00B52734" w:rsidP="004165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360"/>
              <w:rPr>
                <w:rFonts w:ascii="Arial" w:hAnsi="Arial" w:cs="Arial"/>
                <w:bCs/>
              </w:rPr>
            </w:pPr>
            <w:r w:rsidRPr="00B55D1C">
              <w:rPr>
                <w:rFonts w:ascii="Arial" w:hAnsi="Arial" w:cs="Arial"/>
                <w:bCs/>
              </w:rPr>
              <w:t xml:space="preserve">Western </w:t>
            </w:r>
            <w:r w:rsidR="00D46F82" w:rsidRPr="00B55D1C">
              <w:rPr>
                <w:rFonts w:ascii="Arial" w:hAnsi="Arial" w:cs="Arial"/>
                <w:bCs/>
              </w:rPr>
              <w:t>33</w:t>
            </w:r>
            <w:r w:rsidR="00554924" w:rsidRPr="00B55D1C">
              <w:rPr>
                <w:rFonts w:ascii="Arial" w:hAnsi="Arial" w:cs="Arial"/>
                <w:bCs/>
              </w:rPr>
              <w:t xml:space="preserve"> </w:t>
            </w:r>
            <w:r w:rsidRPr="00B55D1C">
              <w:rPr>
                <w:rFonts w:ascii="Arial" w:hAnsi="Arial" w:cs="Arial"/>
                <w:bCs/>
              </w:rPr>
              <w:t>percent</w:t>
            </w:r>
          </w:p>
          <w:p w:rsidR="00B52734" w:rsidRPr="00B55D1C" w:rsidRDefault="00B52734" w:rsidP="004165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360"/>
              <w:rPr>
                <w:rFonts w:ascii="Arial" w:hAnsi="Arial" w:cs="Arial"/>
                <w:bCs/>
              </w:rPr>
            </w:pPr>
            <w:r w:rsidRPr="00B55D1C">
              <w:rPr>
                <w:rFonts w:ascii="Arial" w:hAnsi="Arial" w:cs="Arial"/>
                <w:bCs/>
              </w:rPr>
              <w:t xml:space="preserve">Ontario </w:t>
            </w:r>
            <w:r w:rsidR="00A62CFD" w:rsidRPr="00B55D1C">
              <w:rPr>
                <w:rFonts w:ascii="Arial" w:hAnsi="Arial" w:cs="Arial"/>
                <w:bCs/>
              </w:rPr>
              <w:t>3</w:t>
            </w:r>
            <w:r w:rsidR="00D46F82" w:rsidRPr="00B55D1C">
              <w:rPr>
                <w:rFonts w:ascii="Arial" w:hAnsi="Arial" w:cs="Arial"/>
                <w:bCs/>
              </w:rPr>
              <w:t>8</w:t>
            </w:r>
            <w:r w:rsidR="00A62CFD" w:rsidRPr="00B55D1C">
              <w:rPr>
                <w:rFonts w:ascii="Arial" w:hAnsi="Arial" w:cs="Arial"/>
                <w:bCs/>
              </w:rPr>
              <w:t xml:space="preserve"> </w:t>
            </w:r>
            <w:r w:rsidRPr="00B55D1C">
              <w:rPr>
                <w:rFonts w:ascii="Arial" w:hAnsi="Arial" w:cs="Arial"/>
                <w:bCs/>
              </w:rPr>
              <w:t>percent</w:t>
            </w:r>
          </w:p>
          <w:p w:rsidR="00B52734" w:rsidRPr="00B55D1C" w:rsidRDefault="00B52734" w:rsidP="004165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360"/>
              <w:rPr>
                <w:rFonts w:ascii="Arial" w:hAnsi="Arial" w:cs="Arial"/>
                <w:bCs/>
              </w:rPr>
            </w:pPr>
            <w:r w:rsidRPr="00B55D1C">
              <w:rPr>
                <w:rFonts w:ascii="Arial" w:hAnsi="Arial" w:cs="Arial"/>
                <w:bCs/>
              </w:rPr>
              <w:t xml:space="preserve">Quebec </w:t>
            </w:r>
            <w:r w:rsidR="002F3D0F" w:rsidRPr="00B55D1C">
              <w:rPr>
                <w:rFonts w:ascii="Arial" w:hAnsi="Arial" w:cs="Arial"/>
                <w:bCs/>
              </w:rPr>
              <w:t>2</w:t>
            </w:r>
            <w:r w:rsidR="00D46F82" w:rsidRPr="00B55D1C">
              <w:rPr>
                <w:rFonts w:ascii="Arial" w:hAnsi="Arial" w:cs="Arial"/>
                <w:bCs/>
              </w:rPr>
              <w:t>4</w:t>
            </w:r>
            <w:r w:rsidRPr="00B55D1C">
              <w:rPr>
                <w:rFonts w:ascii="Arial" w:hAnsi="Arial" w:cs="Arial"/>
                <w:bCs/>
              </w:rPr>
              <w:t xml:space="preserve"> percent </w:t>
            </w:r>
          </w:p>
          <w:p w:rsidR="00B52734" w:rsidRPr="00B55D1C" w:rsidRDefault="00B52734" w:rsidP="004165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360"/>
              <w:rPr>
                <w:rFonts w:ascii="Arial" w:hAnsi="Arial" w:cs="Arial"/>
                <w:bCs/>
              </w:rPr>
            </w:pPr>
            <w:r w:rsidRPr="00B55D1C">
              <w:rPr>
                <w:rFonts w:ascii="Arial" w:hAnsi="Arial" w:cs="Arial"/>
                <w:bCs/>
              </w:rPr>
              <w:t xml:space="preserve">Atlantic </w:t>
            </w:r>
            <w:r w:rsidR="00D46F82" w:rsidRPr="00B55D1C">
              <w:rPr>
                <w:rFonts w:ascii="Arial" w:hAnsi="Arial" w:cs="Arial"/>
                <w:bCs/>
              </w:rPr>
              <w:t>5</w:t>
            </w:r>
            <w:r w:rsidR="000C0541" w:rsidRPr="00B55D1C">
              <w:rPr>
                <w:rFonts w:ascii="Arial" w:hAnsi="Arial" w:cs="Arial"/>
                <w:bCs/>
              </w:rPr>
              <w:t xml:space="preserve"> </w:t>
            </w:r>
            <w:r w:rsidRPr="00B55D1C">
              <w:rPr>
                <w:rFonts w:ascii="Arial" w:hAnsi="Arial" w:cs="Arial"/>
                <w:bCs/>
              </w:rPr>
              <w:t>percent</w:t>
            </w:r>
          </w:p>
          <w:p w:rsidR="00B52734" w:rsidRPr="00B55D1C" w:rsidRDefault="00B52734" w:rsidP="00CF44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:rsidR="00864FB1" w:rsidRPr="00B55D1C" w:rsidRDefault="00864FB1" w:rsidP="00111908">
      <w:pPr>
        <w:rPr>
          <w:rFonts w:ascii="Arial" w:hAnsi="Arial" w:cs="Arial"/>
          <w:b/>
          <w:bCs/>
          <w:sz w:val="22"/>
          <w:szCs w:val="22"/>
        </w:rPr>
      </w:pPr>
    </w:p>
    <w:p w:rsidR="00DF4795" w:rsidRPr="00B55D1C" w:rsidRDefault="00CF4448" w:rsidP="00B32061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Cs/>
          <w:sz w:val="22"/>
          <w:szCs w:val="22"/>
        </w:rPr>
      </w:pPr>
      <w:r w:rsidRPr="00B55D1C">
        <w:rPr>
          <w:rFonts w:ascii="Arial" w:hAnsi="Arial" w:cs="Arial"/>
          <w:b/>
          <w:bCs/>
          <w:sz w:val="22"/>
          <w:szCs w:val="22"/>
        </w:rPr>
        <w:t xml:space="preserve">Equipment Breakdown: </w:t>
      </w:r>
      <w:r w:rsidRPr="00B55D1C">
        <w:rPr>
          <w:rFonts w:ascii="Arial" w:hAnsi="Arial" w:cs="Arial"/>
          <w:sz w:val="22"/>
          <w:szCs w:val="22"/>
        </w:rPr>
        <w:t>The top equipment postings</w:t>
      </w:r>
      <w:r w:rsidR="00817A5C" w:rsidRPr="00B55D1C">
        <w:rPr>
          <w:rFonts w:ascii="Arial" w:hAnsi="Arial" w:cs="Arial"/>
          <w:sz w:val="22"/>
          <w:szCs w:val="22"/>
        </w:rPr>
        <w:t xml:space="preserve"> </w:t>
      </w:r>
      <w:r w:rsidR="00504AF4" w:rsidRPr="00B55D1C">
        <w:rPr>
          <w:rFonts w:ascii="Arial" w:hAnsi="Arial" w:cs="Arial"/>
          <w:sz w:val="22"/>
          <w:szCs w:val="22"/>
        </w:rPr>
        <w:t>were</w:t>
      </w:r>
      <w:r w:rsidRPr="00B55D1C">
        <w:rPr>
          <w:rFonts w:ascii="Arial" w:hAnsi="Arial" w:cs="Arial"/>
          <w:b/>
          <w:bCs/>
          <w:sz w:val="22"/>
          <w:szCs w:val="22"/>
        </w:rPr>
        <w:t xml:space="preserve"> </w:t>
      </w:r>
      <w:r w:rsidRPr="00B55D1C">
        <w:rPr>
          <w:rFonts w:ascii="Arial" w:hAnsi="Arial" w:cs="Arial"/>
          <w:bCs/>
          <w:sz w:val="22"/>
          <w:szCs w:val="22"/>
        </w:rPr>
        <w:t xml:space="preserve">Dry Vans </w:t>
      </w:r>
      <w:r w:rsidR="00933A4A" w:rsidRPr="00B55D1C">
        <w:rPr>
          <w:rFonts w:ascii="Arial" w:hAnsi="Arial" w:cs="Arial"/>
          <w:bCs/>
          <w:sz w:val="22"/>
          <w:szCs w:val="22"/>
        </w:rPr>
        <w:t>5</w:t>
      </w:r>
      <w:r w:rsidR="00504AF4" w:rsidRPr="00B55D1C">
        <w:rPr>
          <w:rFonts w:ascii="Arial" w:hAnsi="Arial" w:cs="Arial"/>
          <w:bCs/>
          <w:sz w:val="22"/>
          <w:szCs w:val="22"/>
        </w:rPr>
        <w:t>1</w:t>
      </w:r>
      <w:r w:rsidR="00933A4A" w:rsidRPr="00B55D1C">
        <w:rPr>
          <w:rFonts w:ascii="Arial" w:hAnsi="Arial" w:cs="Arial"/>
          <w:bCs/>
          <w:sz w:val="22"/>
          <w:szCs w:val="22"/>
        </w:rPr>
        <w:t xml:space="preserve"> </w:t>
      </w:r>
      <w:r w:rsidRPr="00B55D1C">
        <w:rPr>
          <w:rFonts w:ascii="Arial" w:hAnsi="Arial" w:cs="Arial"/>
          <w:bCs/>
          <w:sz w:val="22"/>
          <w:szCs w:val="22"/>
        </w:rPr>
        <w:t>percent</w:t>
      </w:r>
      <w:r w:rsidR="00817A5C" w:rsidRPr="00B55D1C">
        <w:rPr>
          <w:rFonts w:ascii="Arial" w:hAnsi="Arial" w:cs="Arial"/>
          <w:bCs/>
          <w:sz w:val="22"/>
          <w:szCs w:val="22"/>
        </w:rPr>
        <w:t xml:space="preserve">, </w:t>
      </w:r>
      <w:r w:rsidRPr="00B55D1C">
        <w:rPr>
          <w:rFonts w:ascii="Arial" w:hAnsi="Arial" w:cs="Arial"/>
          <w:bCs/>
          <w:sz w:val="22"/>
          <w:szCs w:val="22"/>
        </w:rPr>
        <w:t xml:space="preserve">Reefers </w:t>
      </w:r>
      <w:r w:rsidR="00D46F82" w:rsidRPr="00B55D1C">
        <w:rPr>
          <w:rFonts w:ascii="Arial" w:hAnsi="Arial" w:cs="Arial"/>
          <w:bCs/>
          <w:sz w:val="22"/>
          <w:szCs w:val="22"/>
        </w:rPr>
        <w:t>25</w:t>
      </w:r>
      <w:r w:rsidR="00554924" w:rsidRPr="00B55D1C">
        <w:rPr>
          <w:rFonts w:ascii="Arial" w:hAnsi="Arial" w:cs="Arial"/>
          <w:bCs/>
          <w:sz w:val="22"/>
          <w:szCs w:val="22"/>
        </w:rPr>
        <w:t xml:space="preserve"> </w:t>
      </w:r>
      <w:r w:rsidRPr="00B55D1C">
        <w:rPr>
          <w:rFonts w:ascii="Arial" w:hAnsi="Arial" w:cs="Arial"/>
          <w:bCs/>
          <w:sz w:val="22"/>
          <w:szCs w:val="22"/>
        </w:rPr>
        <w:t>percent</w:t>
      </w:r>
      <w:r w:rsidR="00817A5C" w:rsidRPr="00B55D1C">
        <w:rPr>
          <w:rFonts w:ascii="Arial" w:hAnsi="Arial" w:cs="Arial"/>
          <w:bCs/>
          <w:sz w:val="22"/>
          <w:szCs w:val="22"/>
        </w:rPr>
        <w:t xml:space="preserve">, </w:t>
      </w:r>
      <w:r w:rsidRPr="00B55D1C">
        <w:rPr>
          <w:rFonts w:ascii="Arial" w:hAnsi="Arial" w:cs="Arial"/>
          <w:bCs/>
          <w:sz w:val="22"/>
          <w:szCs w:val="22"/>
        </w:rPr>
        <w:t xml:space="preserve">Flatbed </w:t>
      </w:r>
      <w:r w:rsidR="0081215E" w:rsidRPr="00B55D1C">
        <w:rPr>
          <w:rFonts w:ascii="Arial" w:hAnsi="Arial" w:cs="Arial"/>
          <w:bCs/>
          <w:sz w:val="22"/>
          <w:szCs w:val="22"/>
        </w:rPr>
        <w:t>1</w:t>
      </w:r>
      <w:r w:rsidR="00D46F82" w:rsidRPr="00B55D1C">
        <w:rPr>
          <w:rFonts w:ascii="Arial" w:hAnsi="Arial" w:cs="Arial"/>
          <w:bCs/>
          <w:sz w:val="22"/>
          <w:szCs w:val="22"/>
        </w:rPr>
        <w:t>8</w:t>
      </w:r>
      <w:r w:rsidR="0081215E" w:rsidRPr="00B55D1C">
        <w:rPr>
          <w:rFonts w:ascii="Arial" w:hAnsi="Arial" w:cs="Arial"/>
          <w:bCs/>
          <w:sz w:val="22"/>
          <w:szCs w:val="22"/>
        </w:rPr>
        <w:t xml:space="preserve"> </w:t>
      </w:r>
      <w:r w:rsidRPr="00B55D1C">
        <w:rPr>
          <w:rFonts w:ascii="Arial" w:hAnsi="Arial" w:cs="Arial"/>
          <w:bCs/>
          <w:sz w:val="22"/>
          <w:szCs w:val="22"/>
        </w:rPr>
        <w:t>percent</w:t>
      </w:r>
      <w:r w:rsidR="00817A5C" w:rsidRPr="00B55D1C">
        <w:rPr>
          <w:rFonts w:ascii="Arial" w:hAnsi="Arial" w:cs="Arial"/>
          <w:bCs/>
          <w:sz w:val="22"/>
          <w:szCs w:val="22"/>
        </w:rPr>
        <w:t>, and O</w:t>
      </w:r>
      <w:r w:rsidRPr="00B55D1C">
        <w:rPr>
          <w:rFonts w:ascii="Arial" w:hAnsi="Arial" w:cs="Arial"/>
          <w:bCs/>
          <w:sz w:val="22"/>
          <w:szCs w:val="22"/>
        </w:rPr>
        <w:t xml:space="preserve">ther </w:t>
      </w:r>
      <w:r w:rsidR="00E27F98" w:rsidRPr="00B55D1C">
        <w:rPr>
          <w:rFonts w:ascii="Arial" w:hAnsi="Arial" w:cs="Arial"/>
          <w:bCs/>
          <w:sz w:val="22"/>
          <w:szCs w:val="22"/>
        </w:rPr>
        <w:t xml:space="preserve">6 </w:t>
      </w:r>
      <w:r w:rsidRPr="00B55D1C">
        <w:rPr>
          <w:rFonts w:ascii="Arial" w:hAnsi="Arial" w:cs="Arial"/>
          <w:bCs/>
          <w:sz w:val="22"/>
          <w:szCs w:val="22"/>
        </w:rPr>
        <w:t>percent</w:t>
      </w:r>
      <w:r w:rsidR="00727EB2" w:rsidRPr="00B55D1C">
        <w:rPr>
          <w:rFonts w:ascii="Arial" w:hAnsi="Arial" w:cs="Arial"/>
          <w:bCs/>
          <w:sz w:val="22"/>
          <w:szCs w:val="22"/>
        </w:rPr>
        <w:t>.</w:t>
      </w:r>
    </w:p>
    <w:p w:rsidR="00933A4A" w:rsidRDefault="00933A4A">
      <w:pPr>
        <w:spacing w:after="200"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</w:p>
    <w:p w:rsidR="00B32061" w:rsidRDefault="00B32061" w:rsidP="00B32061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Cs/>
          <w:sz w:val="22"/>
          <w:szCs w:val="22"/>
        </w:rPr>
      </w:pPr>
    </w:p>
    <w:p w:rsidR="00ED0DF1" w:rsidRDefault="00ED0DF1" w:rsidP="003562D1">
      <w:pPr>
        <w:jc w:val="center"/>
      </w:pPr>
      <w:r w:rsidRPr="00FA3821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TransCore Canadian Spot Market Freight Index 20</w:t>
      </w:r>
      <w:r w:rsidR="00933A4A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11</w:t>
      </w:r>
      <w:r w:rsidRPr="00FA3821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-201</w:t>
      </w:r>
      <w:r w:rsidR="00933A4A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7</w:t>
      </w:r>
    </w:p>
    <w:tbl>
      <w:tblPr>
        <w:tblW w:w="7630" w:type="dxa"/>
        <w:jc w:val="center"/>
        <w:tblLayout w:type="fixed"/>
        <w:tblLook w:val="04A0" w:firstRow="1" w:lastRow="0" w:firstColumn="1" w:lastColumn="0" w:noHBand="0" w:noVBand="1"/>
      </w:tblPr>
      <w:tblGrid>
        <w:gridCol w:w="762"/>
        <w:gridCol w:w="720"/>
        <w:gridCol w:w="720"/>
        <w:gridCol w:w="720"/>
        <w:gridCol w:w="720"/>
        <w:gridCol w:w="720"/>
        <w:gridCol w:w="663"/>
        <w:gridCol w:w="720"/>
        <w:gridCol w:w="942"/>
        <w:gridCol w:w="943"/>
      </w:tblGrid>
      <w:tr w:rsidR="00933A4A" w:rsidRPr="00FA3821" w:rsidTr="00C075FB">
        <w:trPr>
          <w:trHeight w:val="1020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33A4A" w:rsidRPr="00057861" w:rsidRDefault="00933A4A" w:rsidP="00B22511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33A4A" w:rsidRPr="00057861" w:rsidRDefault="00933A4A" w:rsidP="00B22511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2011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33A4A" w:rsidRPr="00057861" w:rsidRDefault="00933A4A" w:rsidP="00B22511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2012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33A4A" w:rsidRPr="00057861" w:rsidRDefault="00933A4A" w:rsidP="00B22511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33A4A" w:rsidRPr="00057861" w:rsidRDefault="00933A4A" w:rsidP="00B22511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33A4A" w:rsidRPr="003562D1" w:rsidRDefault="00933A4A" w:rsidP="00B2251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2015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3A4A" w:rsidRPr="00C075FB" w:rsidRDefault="00933A4A" w:rsidP="00E711D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3A4A" w:rsidRPr="00C075FB" w:rsidRDefault="00933A4A" w:rsidP="00C075FB">
            <w:pPr>
              <w:jc w:val="center"/>
              <w:rPr>
                <w:rFonts w:asciiTheme="minorHAnsi" w:hAnsiTheme="minorHAnsi"/>
              </w:rPr>
            </w:pPr>
            <w:r w:rsidRPr="00C075FB">
              <w:rPr>
                <w:rFonts w:asciiTheme="minorHAnsi" w:hAnsiTheme="minorHAnsi"/>
                <w:sz w:val="22"/>
                <w:szCs w:val="22"/>
              </w:rPr>
              <w:t>2017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33A4A" w:rsidRPr="00C075FB" w:rsidRDefault="00933A4A" w:rsidP="00B22511">
            <w:pPr>
              <w:jc w:val="center"/>
              <w:rPr>
                <w:rFonts w:asciiTheme="minorHAnsi" w:hAnsiTheme="minorHAnsi"/>
              </w:rPr>
            </w:pPr>
            <w:r w:rsidRPr="00C075FB">
              <w:rPr>
                <w:rFonts w:asciiTheme="minorHAnsi" w:hAnsiTheme="minorHAnsi"/>
                <w:sz w:val="22"/>
                <w:szCs w:val="22"/>
              </w:rPr>
              <w:t>Percent Change Y-O-Y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33A4A" w:rsidRPr="003562D1" w:rsidRDefault="00933A4A" w:rsidP="00B22511">
            <w:pPr>
              <w:jc w:val="center"/>
              <w:rPr>
                <w:rFonts w:asciiTheme="minorHAnsi" w:hAnsiTheme="minorHAnsi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Percent Change M-O-M</w:t>
            </w:r>
          </w:p>
        </w:tc>
      </w:tr>
      <w:tr w:rsidR="00933A4A" w:rsidRPr="00FA3821" w:rsidTr="00C075FB">
        <w:trPr>
          <w:trHeight w:val="300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4A" w:rsidRPr="00057861" w:rsidRDefault="00933A4A" w:rsidP="004A3B9A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Jan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4A" w:rsidRPr="00057861" w:rsidRDefault="00933A4A" w:rsidP="004A3B9A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222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4A" w:rsidRPr="00057861" w:rsidRDefault="00933A4A" w:rsidP="004A3B9A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4A" w:rsidRPr="00057861" w:rsidRDefault="00933A4A" w:rsidP="004A3B9A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228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4A" w:rsidRPr="00057861" w:rsidRDefault="00933A4A" w:rsidP="004A3B9A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335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4A" w:rsidRPr="00057861" w:rsidRDefault="00933A4A" w:rsidP="004A3B9A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3562D1">
              <w:rPr>
                <w:rFonts w:asciiTheme="minorHAnsi" w:hAnsiTheme="minorHAnsi"/>
                <w:sz w:val="22"/>
                <w:szCs w:val="22"/>
              </w:rPr>
              <w:t>275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A4A" w:rsidRPr="005F60EE" w:rsidRDefault="00933A4A" w:rsidP="004A3B9A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4A" w:rsidRDefault="00933A4A" w:rsidP="00C075FB">
            <w:pPr>
              <w:jc w:val="right"/>
              <w:rPr>
                <w:rFonts w:ascii="Calibri" w:hAnsi="Calibri"/>
                <w:color w:val="000000"/>
              </w:rPr>
            </w:pPr>
            <w:r w:rsidRPr="00C075FB">
              <w:rPr>
                <w:rFonts w:ascii="Calibri" w:hAnsi="Calibri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A4A" w:rsidRPr="00C075FB" w:rsidRDefault="00933A4A" w:rsidP="004A3B9A">
            <w:pPr>
              <w:jc w:val="right"/>
              <w:rPr>
                <w:rFonts w:ascii="Calibri" w:hAnsi="Calibri"/>
                <w:color w:val="000000"/>
              </w:rPr>
            </w:pPr>
            <w:r w:rsidRPr="00C075FB">
              <w:rPr>
                <w:rFonts w:ascii="Calibri" w:hAnsi="Calibri"/>
                <w:color w:val="000000"/>
                <w:sz w:val="22"/>
                <w:szCs w:val="22"/>
              </w:rPr>
              <w:t>43%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A4A" w:rsidRPr="00C075FB" w:rsidRDefault="00933A4A" w:rsidP="004A3B9A">
            <w:pPr>
              <w:jc w:val="right"/>
              <w:rPr>
                <w:rFonts w:ascii="Calibri" w:hAnsi="Calibri"/>
                <w:color w:val="000000"/>
              </w:rPr>
            </w:pPr>
            <w:r w:rsidRPr="00C075FB">
              <w:rPr>
                <w:rFonts w:ascii="Calibri" w:hAnsi="Calibri"/>
                <w:color w:val="000000"/>
                <w:sz w:val="22"/>
                <w:szCs w:val="22"/>
              </w:rPr>
              <w:t>10%</w:t>
            </w:r>
          </w:p>
        </w:tc>
      </w:tr>
      <w:tr w:rsidR="000D5CF2" w:rsidRPr="00FA3821" w:rsidTr="00995359">
        <w:trPr>
          <w:trHeight w:val="300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F2" w:rsidRPr="00057861" w:rsidRDefault="000D5CF2" w:rsidP="004A3B9A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Feb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F2" w:rsidRPr="00057861" w:rsidRDefault="000D5CF2" w:rsidP="004A3B9A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248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F2" w:rsidRPr="00057861" w:rsidRDefault="000D5CF2" w:rsidP="004A3B9A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222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F2" w:rsidRPr="00057861" w:rsidRDefault="000D5CF2" w:rsidP="004A3B9A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198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F2" w:rsidRPr="00057861" w:rsidRDefault="000D5CF2" w:rsidP="004A3B9A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EA74F9">
              <w:rPr>
                <w:rFonts w:asciiTheme="minorHAnsi" w:hAnsiTheme="minorHAnsi"/>
                <w:sz w:val="22"/>
                <w:szCs w:val="22"/>
              </w:rPr>
              <w:t>318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F2" w:rsidRPr="00EA74F9" w:rsidRDefault="000D5CF2" w:rsidP="004A3B9A">
            <w:pPr>
              <w:jc w:val="right"/>
              <w:rPr>
                <w:rFonts w:asciiTheme="minorHAnsi" w:hAnsiTheme="minorHAnsi"/>
              </w:rPr>
            </w:pPr>
            <w:r w:rsidRPr="005F60EE">
              <w:rPr>
                <w:rFonts w:asciiTheme="minorHAnsi" w:hAnsiTheme="minorHAnsi"/>
                <w:sz w:val="22"/>
                <w:szCs w:val="22"/>
              </w:rPr>
              <w:t>253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F2" w:rsidRPr="007D0987" w:rsidRDefault="000D5CF2" w:rsidP="004A3B9A">
            <w:pPr>
              <w:jc w:val="right"/>
              <w:rPr>
                <w:rFonts w:asciiTheme="minorHAnsi" w:hAnsiTheme="minorHAnsi"/>
              </w:rPr>
            </w:pPr>
            <w:r w:rsidRPr="007D0987">
              <w:rPr>
                <w:rFonts w:asciiTheme="minorHAnsi" w:hAnsiTheme="minorHAnsi"/>
                <w:sz w:val="22"/>
                <w:szCs w:val="22"/>
              </w:rPr>
              <w:t>201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CF2" w:rsidRPr="00C075FB" w:rsidRDefault="000D5CF2" w:rsidP="00C075F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CF2" w:rsidRPr="00C075FB" w:rsidRDefault="000D5CF2" w:rsidP="004A3B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CF2" w:rsidRPr="00C075FB" w:rsidRDefault="000D5CF2" w:rsidP="004A3B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-5%</w:t>
            </w:r>
          </w:p>
        </w:tc>
      </w:tr>
      <w:tr w:rsidR="005179A3" w:rsidRPr="00FA3821" w:rsidTr="00497D81">
        <w:trPr>
          <w:trHeight w:val="300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A3" w:rsidRPr="00057861" w:rsidRDefault="005179A3" w:rsidP="005179A3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Mar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A3" w:rsidRPr="00057861" w:rsidRDefault="005179A3" w:rsidP="005179A3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337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A3" w:rsidRPr="00057861" w:rsidRDefault="005179A3" w:rsidP="005179A3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276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A3" w:rsidRPr="00057861" w:rsidRDefault="005179A3" w:rsidP="005179A3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245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A3" w:rsidRPr="00057861" w:rsidRDefault="005179A3" w:rsidP="005179A3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8B53AD">
              <w:rPr>
                <w:rFonts w:asciiTheme="minorHAnsi" w:hAnsiTheme="minorHAnsi"/>
                <w:sz w:val="22"/>
                <w:szCs w:val="22"/>
              </w:rPr>
              <w:t>369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A3" w:rsidRPr="008B53AD" w:rsidRDefault="005179A3" w:rsidP="005179A3">
            <w:pPr>
              <w:jc w:val="right"/>
              <w:rPr>
                <w:rFonts w:asciiTheme="minorHAnsi" w:hAnsiTheme="minorHAnsi"/>
              </w:rPr>
            </w:pPr>
            <w:r w:rsidRPr="00C96587">
              <w:rPr>
                <w:rFonts w:asciiTheme="minorHAnsi" w:hAnsiTheme="minorHAnsi"/>
                <w:sz w:val="22"/>
                <w:szCs w:val="22"/>
              </w:rPr>
              <w:t>285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A3" w:rsidRPr="00ED75B6" w:rsidRDefault="005179A3" w:rsidP="005179A3">
            <w:pPr>
              <w:jc w:val="right"/>
              <w:rPr>
                <w:rFonts w:asciiTheme="minorHAnsi" w:hAnsiTheme="minorHAnsi"/>
              </w:rPr>
            </w:pPr>
            <w:r w:rsidRPr="00ED75B6">
              <w:rPr>
                <w:rFonts w:asciiTheme="minorHAnsi" w:hAnsiTheme="minorHAnsi"/>
                <w:sz w:val="22"/>
                <w:szCs w:val="22"/>
              </w:rPr>
              <w:t>236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9A3" w:rsidRPr="00497D81" w:rsidRDefault="005179A3" w:rsidP="005179A3">
            <w:pPr>
              <w:jc w:val="right"/>
              <w:rPr>
                <w:rFonts w:ascii="Calibri" w:hAnsi="Calibri"/>
                <w:color w:val="000000"/>
              </w:rPr>
            </w:pPr>
            <w:r w:rsidRPr="00497D81">
              <w:rPr>
                <w:rFonts w:ascii="Calibri" w:hAnsi="Calibri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9A3" w:rsidRPr="00497D81" w:rsidRDefault="005179A3" w:rsidP="005179A3">
            <w:pPr>
              <w:jc w:val="right"/>
              <w:rPr>
                <w:rFonts w:ascii="Calibri" w:hAnsi="Calibri"/>
                <w:color w:val="000000"/>
              </w:rPr>
            </w:pPr>
            <w:r w:rsidRPr="00497D81">
              <w:rPr>
                <w:rFonts w:ascii="Calibri" w:hAnsi="Calibri"/>
                <w:color w:val="000000"/>
                <w:sz w:val="22"/>
                <w:szCs w:val="22"/>
              </w:rPr>
              <w:t>51%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9A3" w:rsidRPr="00497D81" w:rsidRDefault="005179A3" w:rsidP="005179A3">
            <w:pPr>
              <w:jc w:val="right"/>
              <w:rPr>
                <w:rFonts w:ascii="Calibri" w:hAnsi="Calibri"/>
                <w:color w:val="000000"/>
              </w:rPr>
            </w:pPr>
            <w:r w:rsidRPr="00497D81">
              <w:rPr>
                <w:rFonts w:ascii="Calibri" w:hAnsi="Calibri"/>
                <w:color w:val="000000"/>
                <w:sz w:val="22"/>
                <w:szCs w:val="22"/>
              </w:rPr>
              <w:t>33%</w:t>
            </w:r>
          </w:p>
        </w:tc>
      </w:tr>
      <w:tr w:rsidR="00933A4A" w:rsidRPr="00FA3821" w:rsidTr="00037118">
        <w:trPr>
          <w:trHeight w:val="300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4A" w:rsidRPr="00057861" w:rsidRDefault="00933A4A" w:rsidP="004A3B9A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Apr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4A" w:rsidRPr="00057861" w:rsidRDefault="00933A4A" w:rsidP="004A3B9A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4A" w:rsidRPr="00057861" w:rsidRDefault="00933A4A" w:rsidP="004A3B9A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266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4A" w:rsidRPr="00057861" w:rsidRDefault="00933A4A" w:rsidP="004A3B9A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229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4A" w:rsidRPr="00057861" w:rsidRDefault="00933A4A" w:rsidP="004A3B9A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941A92">
              <w:rPr>
                <w:rFonts w:asciiTheme="minorHAnsi" w:hAnsiTheme="minorHAnsi"/>
                <w:sz w:val="22"/>
                <w:szCs w:val="22"/>
              </w:rPr>
              <w:t>324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4A" w:rsidRPr="00941A92" w:rsidRDefault="00933A4A" w:rsidP="004A3B9A">
            <w:pPr>
              <w:jc w:val="right"/>
              <w:rPr>
                <w:rFonts w:asciiTheme="minorHAnsi" w:hAnsiTheme="minorHAnsi"/>
              </w:rPr>
            </w:pPr>
            <w:r w:rsidRPr="009164FC">
              <w:rPr>
                <w:rFonts w:asciiTheme="minorHAnsi" w:hAnsiTheme="minorHAnsi"/>
                <w:sz w:val="22"/>
                <w:szCs w:val="22"/>
              </w:rPr>
              <w:t>249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A4A" w:rsidRPr="009164FC" w:rsidRDefault="00933A4A" w:rsidP="004A3B9A">
            <w:pPr>
              <w:jc w:val="right"/>
              <w:rPr>
                <w:rFonts w:asciiTheme="minorHAnsi" w:hAnsiTheme="minorHAnsi"/>
              </w:rPr>
            </w:pPr>
            <w:r w:rsidRPr="00255980">
              <w:rPr>
                <w:rFonts w:asciiTheme="minorHAnsi" w:hAnsiTheme="minorHAnsi"/>
                <w:sz w:val="22"/>
                <w:szCs w:val="22"/>
              </w:rPr>
              <w:t>207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4A" w:rsidRPr="00C075FB" w:rsidRDefault="00037118" w:rsidP="00C075F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A4A" w:rsidRPr="00C075FB" w:rsidRDefault="00037118" w:rsidP="0003711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A4A" w:rsidRPr="00C075FB" w:rsidRDefault="00037118" w:rsidP="004A3B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-21%</w:t>
            </w:r>
          </w:p>
        </w:tc>
      </w:tr>
      <w:tr w:rsidR="00933A4A" w:rsidRPr="009439D8" w:rsidTr="00D46F82">
        <w:trPr>
          <w:trHeight w:val="300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4A" w:rsidRPr="00057861" w:rsidRDefault="00933A4A" w:rsidP="004A3B9A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May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4A" w:rsidRPr="00057861" w:rsidRDefault="00933A4A" w:rsidP="004A3B9A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307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4A" w:rsidRPr="00057861" w:rsidRDefault="00933A4A" w:rsidP="004A3B9A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301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4A" w:rsidRPr="00057861" w:rsidRDefault="00933A4A" w:rsidP="004A3B9A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252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4A" w:rsidRPr="00057861" w:rsidRDefault="00933A4A" w:rsidP="004A3B9A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701653">
              <w:rPr>
                <w:rFonts w:asciiTheme="minorHAnsi" w:hAnsiTheme="minorHAnsi"/>
                <w:sz w:val="22"/>
                <w:szCs w:val="22"/>
              </w:rPr>
              <w:t>331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4A" w:rsidRPr="00701653" w:rsidRDefault="00933A4A" w:rsidP="004A3B9A">
            <w:pPr>
              <w:jc w:val="right"/>
              <w:rPr>
                <w:rFonts w:asciiTheme="minorHAnsi" w:hAnsiTheme="minorHAnsi"/>
              </w:rPr>
            </w:pPr>
            <w:r w:rsidRPr="00674DCE">
              <w:rPr>
                <w:rFonts w:asciiTheme="minorHAnsi" w:hAnsiTheme="minorHAnsi"/>
                <w:sz w:val="22"/>
                <w:szCs w:val="22"/>
              </w:rPr>
              <w:t>258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A4A" w:rsidRPr="007D6609" w:rsidRDefault="00933A4A" w:rsidP="004A3B9A">
            <w:pPr>
              <w:jc w:val="right"/>
              <w:rPr>
                <w:rFonts w:asciiTheme="minorHAnsi" w:hAnsiTheme="minorHAnsi"/>
              </w:rPr>
            </w:pPr>
            <w:r w:rsidRPr="007D6609">
              <w:rPr>
                <w:rFonts w:asciiTheme="minorHAnsi" w:hAnsiTheme="minorHAnsi"/>
                <w:sz w:val="22"/>
                <w:szCs w:val="22"/>
              </w:rPr>
              <w:t>252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4A" w:rsidRPr="00C075FB" w:rsidRDefault="00D46F82" w:rsidP="00D46F8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A4A" w:rsidRPr="00C075FB" w:rsidRDefault="00D46F82" w:rsidP="004A3B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A4A" w:rsidRPr="00C075FB" w:rsidRDefault="00D46F82" w:rsidP="004A3B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17%</w:t>
            </w:r>
          </w:p>
        </w:tc>
      </w:tr>
      <w:tr w:rsidR="00933A4A" w:rsidRPr="00FA3821" w:rsidTr="00995359">
        <w:trPr>
          <w:trHeight w:val="300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4A" w:rsidRPr="00057861" w:rsidRDefault="00933A4A" w:rsidP="004A3B9A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Jun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4A" w:rsidRPr="00057861" w:rsidRDefault="00933A4A" w:rsidP="004A3B9A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315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4A" w:rsidRPr="00057861" w:rsidRDefault="00933A4A" w:rsidP="004A3B9A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295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4A" w:rsidRPr="00057861" w:rsidRDefault="00933A4A" w:rsidP="004A3B9A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234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4A" w:rsidRPr="00057861" w:rsidRDefault="00933A4A" w:rsidP="004A3B9A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E619E3">
              <w:rPr>
                <w:rFonts w:asciiTheme="minorHAnsi" w:hAnsiTheme="minorHAnsi"/>
                <w:sz w:val="22"/>
                <w:szCs w:val="22"/>
              </w:rPr>
              <w:t>331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4A" w:rsidRPr="00465EDF" w:rsidRDefault="00933A4A" w:rsidP="004A3B9A">
            <w:pPr>
              <w:jc w:val="right"/>
              <w:rPr>
                <w:rFonts w:asciiTheme="minorHAnsi" w:hAnsiTheme="minorHAnsi"/>
              </w:rPr>
            </w:pPr>
            <w:r w:rsidRPr="002E5E32">
              <w:rPr>
                <w:rFonts w:asciiTheme="minorHAnsi" w:hAnsiTheme="minorHAnsi"/>
                <w:sz w:val="22"/>
                <w:szCs w:val="22"/>
              </w:rPr>
              <w:t>263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A4A" w:rsidRPr="002E5E32" w:rsidRDefault="00933A4A" w:rsidP="004A3B9A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3A4A" w:rsidRDefault="00933A4A" w:rsidP="00C075FB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933A4A" w:rsidRPr="00C075FB" w:rsidRDefault="00933A4A" w:rsidP="004A3B9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933A4A" w:rsidRPr="00C075FB" w:rsidRDefault="00933A4A" w:rsidP="004A3B9A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933A4A" w:rsidRPr="00FA3821" w:rsidTr="00995359">
        <w:trPr>
          <w:trHeight w:val="300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4A" w:rsidRPr="00057861" w:rsidRDefault="00933A4A" w:rsidP="004A3B9A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Jul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4A" w:rsidRPr="00057861" w:rsidRDefault="00933A4A" w:rsidP="004A3B9A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245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4A" w:rsidRPr="00057861" w:rsidRDefault="00933A4A" w:rsidP="004A3B9A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233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4A" w:rsidRPr="00057861" w:rsidRDefault="00933A4A" w:rsidP="004A3B9A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233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4A" w:rsidRPr="00057861" w:rsidRDefault="00933A4A" w:rsidP="004A3B9A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73E7F">
              <w:rPr>
                <w:rFonts w:asciiTheme="minorHAnsi" w:hAnsiTheme="minorHAnsi"/>
                <w:sz w:val="22"/>
                <w:szCs w:val="22"/>
              </w:rPr>
              <w:t>291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4A" w:rsidRPr="00465EDF" w:rsidRDefault="00933A4A" w:rsidP="004A3B9A">
            <w:pPr>
              <w:jc w:val="right"/>
              <w:rPr>
                <w:rFonts w:asciiTheme="minorHAnsi" w:hAnsiTheme="minorHAnsi"/>
              </w:rPr>
            </w:pPr>
            <w:r w:rsidRPr="00DA6A4A">
              <w:rPr>
                <w:rFonts w:asciiTheme="minorHAnsi" w:hAnsiTheme="minorHAnsi"/>
                <w:sz w:val="22"/>
                <w:szCs w:val="22"/>
              </w:rPr>
              <w:t>197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A4A" w:rsidRPr="00DA6A4A" w:rsidRDefault="00933A4A" w:rsidP="004A3B9A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3A4A" w:rsidRDefault="00933A4A" w:rsidP="00C075FB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933A4A" w:rsidRPr="00C075FB" w:rsidRDefault="00933A4A" w:rsidP="004A3B9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933A4A" w:rsidRPr="00C075FB" w:rsidRDefault="00933A4A" w:rsidP="004A3B9A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933A4A" w:rsidRPr="00FA3821" w:rsidTr="00995359">
        <w:trPr>
          <w:trHeight w:val="300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4A" w:rsidRPr="00057861" w:rsidRDefault="00933A4A" w:rsidP="004A3B9A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Aug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4A" w:rsidRPr="00057861" w:rsidRDefault="00933A4A" w:rsidP="004A3B9A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270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4A" w:rsidRPr="00057861" w:rsidRDefault="00933A4A" w:rsidP="004A3B9A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235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4A" w:rsidRPr="00057861" w:rsidRDefault="00933A4A" w:rsidP="004A3B9A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229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4A" w:rsidRPr="00057861" w:rsidRDefault="00933A4A" w:rsidP="004A3B9A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4E21E5">
              <w:rPr>
                <w:rFonts w:asciiTheme="minorHAnsi" w:hAnsiTheme="minorHAnsi"/>
                <w:sz w:val="22"/>
                <w:szCs w:val="22"/>
              </w:rPr>
              <w:t>264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4A" w:rsidRPr="00465EDF" w:rsidRDefault="00933A4A" w:rsidP="004A3B9A">
            <w:pPr>
              <w:jc w:val="right"/>
              <w:rPr>
                <w:rFonts w:asciiTheme="minorHAnsi" w:hAnsiTheme="minorHAnsi"/>
              </w:rPr>
            </w:pPr>
            <w:r w:rsidRPr="008C26F9">
              <w:rPr>
                <w:rFonts w:asciiTheme="minorHAnsi" w:hAnsiTheme="minorHAnsi"/>
                <w:sz w:val="22"/>
                <w:szCs w:val="22"/>
              </w:rPr>
              <w:t>196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A4A" w:rsidRPr="00FD3691" w:rsidRDefault="00933A4A" w:rsidP="004A3B9A">
            <w:pPr>
              <w:jc w:val="right"/>
              <w:rPr>
                <w:rFonts w:ascii="Calibri" w:hAnsi="Calibri"/>
                <w:color w:val="000000"/>
              </w:rPr>
            </w:pPr>
            <w:r w:rsidRPr="00FD3691">
              <w:rPr>
                <w:rFonts w:ascii="Calibri" w:hAnsi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3A4A" w:rsidRPr="00FD3691" w:rsidRDefault="00933A4A" w:rsidP="00C075FB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933A4A" w:rsidRPr="00C075FB" w:rsidRDefault="00933A4A" w:rsidP="004A3B9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933A4A" w:rsidRPr="00C075FB" w:rsidRDefault="00933A4A" w:rsidP="004A3B9A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933A4A" w:rsidRPr="00FA3821" w:rsidTr="00995359">
        <w:trPr>
          <w:trHeight w:val="300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4A" w:rsidRPr="00057861" w:rsidRDefault="00933A4A" w:rsidP="004A3B9A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Sep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4A" w:rsidRPr="00057861" w:rsidRDefault="00933A4A" w:rsidP="004A3B9A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263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4A" w:rsidRPr="00057861" w:rsidRDefault="00933A4A" w:rsidP="004A3B9A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4A" w:rsidRPr="00057861" w:rsidRDefault="00933A4A" w:rsidP="004A3B9A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218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4A" w:rsidRPr="00057861" w:rsidRDefault="00933A4A" w:rsidP="004A3B9A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111908">
              <w:rPr>
                <w:rFonts w:asciiTheme="minorHAnsi" w:hAnsiTheme="minorHAnsi"/>
                <w:sz w:val="22"/>
                <w:szCs w:val="22"/>
              </w:rPr>
              <w:t>279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4A" w:rsidRPr="00465EDF" w:rsidRDefault="00933A4A" w:rsidP="004A3B9A">
            <w:pPr>
              <w:jc w:val="right"/>
              <w:rPr>
                <w:rFonts w:asciiTheme="minorHAnsi" w:hAnsiTheme="minorHAnsi"/>
              </w:rPr>
            </w:pPr>
            <w:r w:rsidRPr="00C00BFC">
              <w:rPr>
                <w:rFonts w:asciiTheme="minorHAnsi" w:hAnsiTheme="minorHAnsi"/>
                <w:sz w:val="22"/>
                <w:szCs w:val="22"/>
              </w:rPr>
              <w:t>210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A4A" w:rsidRPr="00C00BFC" w:rsidRDefault="00933A4A" w:rsidP="004A3B9A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3A4A" w:rsidRDefault="00933A4A" w:rsidP="00C075FB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933A4A" w:rsidRPr="00C075FB" w:rsidRDefault="00933A4A" w:rsidP="004A3B9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933A4A" w:rsidRPr="00C075FB" w:rsidRDefault="00933A4A" w:rsidP="004A3B9A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933A4A" w:rsidRPr="00FA3821" w:rsidTr="00995359">
        <w:trPr>
          <w:trHeight w:val="300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4A" w:rsidRPr="00057861" w:rsidRDefault="00933A4A" w:rsidP="004A3B9A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Oct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4A" w:rsidRPr="00057861" w:rsidRDefault="00933A4A" w:rsidP="004A3B9A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251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4A" w:rsidRPr="00057861" w:rsidRDefault="00933A4A" w:rsidP="004A3B9A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215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4A" w:rsidRPr="00057861" w:rsidRDefault="00933A4A" w:rsidP="004A3B9A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232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4A" w:rsidRPr="00057861" w:rsidRDefault="00933A4A" w:rsidP="004A3B9A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D472B2">
              <w:rPr>
                <w:rFonts w:asciiTheme="minorHAnsi" w:hAnsiTheme="minorHAnsi"/>
                <w:sz w:val="22"/>
                <w:szCs w:val="22"/>
              </w:rPr>
              <w:t>282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4A" w:rsidRPr="00465EDF" w:rsidRDefault="00933A4A" w:rsidP="004A3B9A">
            <w:pPr>
              <w:jc w:val="right"/>
              <w:rPr>
                <w:rFonts w:asciiTheme="minorHAnsi" w:hAnsiTheme="minorHAnsi"/>
              </w:rPr>
            </w:pPr>
            <w:r w:rsidRPr="007E6CC9">
              <w:rPr>
                <w:rFonts w:asciiTheme="minorHAnsi" w:hAnsiTheme="minorHAnsi"/>
                <w:sz w:val="22"/>
                <w:szCs w:val="22"/>
              </w:rPr>
              <w:t>197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A4A" w:rsidRPr="007E6CC9" w:rsidRDefault="00933A4A" w:rsidP="004A3B9A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3A4A" w:rsidRDefault="00933A4A" w:rsidP="00C075FB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933A4A" w:rsidRPr="00C075FB" w:rsidRDefault="00933A4A" w:rsidP="004A3B9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933A4A" w:rsidRPr="00C075FB" w:rsidRDefault="00933A4A" w:rsidP="004A3B9A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933A4A" w:rsidRPr="00FA3821" w:rsidTr="00995359">
        <w:trPr>
          <w:trHeight w:val="300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4A" w:rsidRPr="00057861" w:rsidRDefault="00933A4A" w:rsidP="004A3B9A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Nov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4A" w:rsidRPr="00057861" w:rsidRDefault="00933A4A" w:rsidP="004A3B9A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252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4A" w:rsidRPr="00057861" w:rsidRDefault="00933A4A" w:rsidP="004A3B9A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215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4A" w:rsidRPr="00057861" w:rsidRDefault="00933A4A" w:rsidP="004A3B9A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4A" w:rsidRPr="00057861" w:rsidRDefault="00933A4A" w:rsidP="004A3B9A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E558EE">
              <w:rPr>
                <w:rFonts w:asciiTheme="minorHAnsi" w:hAnsiTheme="minorHAnsi"/>
                <w:sz w:val="22"/>
                <w:szCs w:val="22"/>
              </w:rPr>
              <w:t>251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4A" w:rsidRPr="00465EDF" w:rsidRDefault="00933A4A" w:rsidP="004A3B9A">
            <w:pPr>
              <w:jc w:val="right"/>
              <w:rPr>
                <w:rFonts w:asciiTheme="minorHAnsi" w:hAnsiTheme="minorHAnsi"/>
              </w:rPr>
            </w:pPr>
            <w:r w:rsidRPr="005653B4">
              <w:rPr>
                <w:rFonts w:asciiTheme="minorHAnsi" w:hAnsiTheme="minorHAnsi"/>
                <w:sz w:val="22"/>
                <w:szCs w:val="22"/>
              </w:rPr>
              <w:t>182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A4A" w:rsidRPr="005653B4" w:rsidRDefault="00933A4A" w:rsidP="004A3B9A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3A4A" w:rsidRDefault="00933A4A" w:rsidP="00C075FB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933A4A" w:rsidRPr="00C075FB" w:rsidRDefault="00933A4A" w:rsidP="004A3B9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933A4A" w:rsidRPr="00C075FB" w:rsidRDefault="00933A4A" w:rsidP="004A3B9A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933A4A" w:rsidRPr="00FA3821" w:rsidTr="00995359">
        <w:trPr>
          <w:trHeight w:val="300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4A" w:rsidRPr="00057861" w:rsidRDefault="00933A4A" w:rsidP="004A3B9A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Dec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4A" w:rsidRPr="00057861" w:rsidRDefault="00933A4A" w:rsidP="004A3B9A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217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4A" w:rsidRPr="00057861" w:rsidRDefault="00933A4A" w:rsidP="004A3B9A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182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4A" w:rsidRPr="00057861" w:rsidRDefault="00933A4A" w:rsidP="004A3B9A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234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4A" w:rsidRPr="00057861" w:rsidRDefault="00933A4A" w:rsidP="004A3B9A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465EDF">
              <w:rPr>
                <w:rFonts w:asciiTheme="minorHAnsi" w:hAnsiTheme="minorHAnsi"/>
                <w:sz w:val="22"/>
                <w:szCs w:val="22"/>
              </w:rPr>
              <w:t>278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4A" w:rsidRPr="00465EDF" w:rsidRDefault="00933A4A" w:rsidP="004A3B9A">
            <w:pPr>
              <w:jc w:val="right"/>
              <w:rPr>
                <w:rFonts w:asciiTheme="minorHAnsi" w:hAnsiTheme="minorHAnsi"/>
              </w:rPr>
            </w:pPr>
            <w:r w:rsidRPr="005E7B15">
              <w:rPr>
                <w:rFonts w:asciiTheme="minorHAnsi" w:hAnsiTheme="minorHAnsi"/>
                <w:sz w:val="22"/>
                <w:szCs w:val="22"/>
              </w:rPr>
              <w:t>178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A4A" w:rsidRPr="00705164" w:rsidRDefault="00933A4A">
            <w:pPr>
              <w:jc w:val="right"/>
              <w:rPr>
                <w:rFonts w:ascii="Calibri" w:hAnsi="Calibri"/>
                <w:color w:val="000000"/>
              </w:rPr>
            </w:pPr>
            <w:r w:rsidRPr="00705164">
              <w:rPr>
                <w:rFonts w:ascii="Calibri" w:hAnsi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3A4A" w:rsidRPr="00705164" w:rsidRDefault="00933A4A" w:rsidP="00C075FB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933A4A" w:rsidRPr="00C075FB" w:rsidRDefault="00933A4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933A4A" w:rsidRPr="00C075FB" w:rsidRDefault="00933A4A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</w:tbl>
    <w:p w:rsidR="00CF4448" w:rsidRDefault="00CF4448" w:rsidP="00CF4448">
      <w:pPr>
        <w:tabs>
          <w:tab w:val="left" w:pos="3870"/>
        </w:tabs>
        <w:jc w:val="center"/>
        <w:rPr>
          <w:rFonts w:ascii="Arial" w:hAnsi="Arial" w:cs="Arial"/>
          <w:bCs/>
          <w:sz w:val="22"/>
          <w:szCs w:val="22"/>
        </w:rPr>
      </w:pPr>
    </w:p>
    <w:p w:rsidR="00B81458" w:rsidRDefault="00B81458" w:rsidP="00CF4448">
      <w:pPr>
        <w:tabs>
          <w:tab w:val="left" w:pos="3870"/>
        </w:tabs>
        <w:jc w:val="center"/>
        <w:rPr>
          <w:rFonts w:ascii="Arial" w:hAnsi="Arial" w:cs="Arial"/>
          <w:bCs/>
          <w:sz w:val="22"/>
          <w:szCs w:val="22"/>
        </w:rPr>
      </w:pPr>
    </w:p>
    <w:p w:rsidR="00CF4448" w:rsidRDefault="00CF4448" w:rsidP="00CF4448">
      <w:pPr>
        <w:tabs>
          <w:tab w:val="left" w:pos="3870"/>
        </w:tabs>
        <w:jc w:val="center"/>
        <w:rPr>
          <w:rFonts w:ascii="Arial" w:hAnsi="Arial" w:cs="Arial"/>
          <w:bCs/>
          <w:sz w:val="22"/>
          <w:szCs w:val="22"/>
        </w:rPr>
      </w:pPr>
    </w:p>
    <w:p w:rsidR="00B22511" w:rsidRDefault="00D46F82" w:rsidP="00465EDF">
      <w:pPr>
        <w:jc w:val="center"/>
      </w:pPr>
      <w:r>
        <w:rPr>
          <w:noProof/>
        </w:rPr>
        <w:drawing>
          <wp:inline distT="0" distB="0" distL="0" distR="0">
            <wp:extent cx="6121101" cy="4189730"/>
            <wp:effectExtent l="19050" t="0" r="12999" b="127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22511" w:rsidRDefault="00B22511" w:rsidP="00B22511">
      <w:pPr>
        <w:jc w:val="center"/>
      </w:pPr>
      <w:r>
        <w:br w:type="page"/>
      </w:r>
      <w:r w:rsidRPr="00FA3821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lastRenderedPageBreak/>
        <w:t xml:space="preserve">TransCore Canadian Spot Market </w:t>
      </w:r>
      <w:r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Truck</w:t>
      </w:r>
      <w:r w:rsidRPr="00FA3821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 xml:space="preserve"> Index 20</w:t>
      </w:r>
      <w:r w:rsidR="007D1372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11</w:t>
      </w:r>
      <w:r w:rsidRPr="00FA3821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-201</w:t>
      </w:r>
      <w:r w:rsidR="004256B3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7</w:t>
      </w:r>
    </w:p>
    <w:tbl>
      <w:tblPr>
        <w:tblW w:w="7799" w:type="dxa"/>
        <w:jc w:val="center"/>
        <w:tblLayout w:type="fixed"/>
        <w:tblLook w:val="04A0" w:firstRow="1" w:lastRow="0" w:firstColumn="1" w:lastColumn="0" w:noHBand="0" w:noVBand="1"/>
      </w:tblPr>
      <w:tblGrid>
        <w:gridCol w:w="762"/>
        <w:gridCol w:w="720"/>
        <w:gridCol w:w="720"/>
        <w:gridCol w:w="720"/>
        <w:gridCol w:w="720"/>
        <w:gridCol w:w="720"/>
        <w:gridCol w:w="663"/>
        <w:gridCol w:w="720"/>
        <w:gridCol w:w="1111"/>
        <w:gridCol w:w="943"/>
      </w:tblGrid>
      <w:tr w:rsidR="00933A4A" w:rsidRPr="00FA3821" w:rsidTr="00C075FB">
        <w:trPr>
          <w:trHeight w:val="1020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33A4A" w:rsidRPr="00057861" w:rsidRDefault="00933A4A" w:rsidP="00B22511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33A4A" w:rsidRPr="00057861" w:rsidRDefault="00933A4A" w:rsidP="00B22511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2011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33A4A" w:rsidRPr="00057861" w:rsidRDefault="00933A4A" w:rsidP="00B22511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2012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33A4A" w:rsidRPr="00057861" w:rsidRDefault="00933A4A" w:rsidP="00B22511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33A4A" w:rsidRPr="00057861" w:rsidRDefault="00933A4A" w:rsidP="00B22511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33A4A" w:rsidRPr="00E46DE6" w:rsidRDefault="00933A4A" w:rsidP="00B2251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2015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3A4A" w:rsidRPr="00057861" w:rsidRDefault="00933A4A" w:rsidP="00B2251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33A4A" w:rsidRPr="009164FC" w:rsidRDefault="00933A4A" w:rsidP="00C075FB">
            <w:pPr>
              <w:jc w:val="center"/>
              <w:rPr>
                <w:rFonts w:asciiTheme="minorHAnsi" w:hAnsiTheme="minorHAnsi"/>
                <w:lang w:val="fr-CA"/>
              </w:rPr>
            </w:pPr>
            <w:r>
              <w:rPr>
                <w:rFonts w:asciiTheme="minorHAnsi" w:hAnsiTheme="minorHAnsi"/>
                <w:sz w:val="22"/>
                <w:szCs w:val="22"/>
                <w:lang w:val="fr-CA"/>
              </w:rPr>
              <w:t>2017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3256" w:rsidRDefault="00933A4A" w:rsidP="00B22511">
            <w:pPr>
              <w:jc w:val="center"/>
              <w:rPr>
                <w:rFonts w:asciiTheme="minorHAnsi" w:hAnsiTheme="minorHAnsi"/>
                <w:lang w:val="fr-CA"/>
              </w:rPr>
            </w:pPr>
            <w:r w:rsidRPr="009164FC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Percent Change </w:t>
            </w:r>
          </w:p>
          <w:p w:rsidR="00933A4A" w:rsidRPr="009164FC" w:rsidRDefault="00933A4A" w:rsidP="00B22511">
            <w:pPr>
              <w:jc w:val="center"/>
              <w:rPr>
                <w:rFonts w:asciiTheme="minorHAnsi" w:hAnsiTheme="minorHAnsi"/>
                <w:lang w:val="fr-CA"/>
              </w:rPr>
            </w:pPr>
            <w:r w:rsidRPr="009164FC">
              <w:rPr>
                <w:rFonts w:asciiTheme="minorHAnsi" w:hAnsiTheme="minorHAnsi"/>
                <w:sz w:val="22"/>
                <w:szCs w:val="22"/>
                <w:lang w:val="fr-CA"/>
              </w:rPr>
              <w:t>Y-O-Y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33A4A" w:rsidRPr="00E46DE6" w:rsidRDefault="00933A4A" w:rsidP="00B22511">
            <w:pPr>
              <w:jc w:val="center"/>
              <w:rPr>
                <w:rFonts w:asciiTheme="minorHAnsi" w:hAnsiTheme="minorHAnsi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Percent Change M-O-M</w:t>
            </w:r>
          </w:p>
        </w:tc>
      </w:tr>
      <w:tr w:rsidR="00933A4A" w:rsidRPr="003562D1" w:rsidTr="00C075FB">
        <w:trPr>
          <w:trHeight w:val="300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A4A" w:rsidRPr="00057861" w:rsidRDefault="00933A4A" w:rsidP="00B22511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Jan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A4A" w:rsidRPr="00057861" w:rsidRDefault="00933A4A" w:rsidP="00B22511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887400">
              <w:rPr>
                <w:rFonts w:asciiTheme="minorHAnsi" w:hAnsiTheme="minorHAnsi"/>
                <w:sz w:val="22"/>
                <w:szCs w:val="22"/>
              </w:rPr>
              <w:t>105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A4A" w:rsidRPr="00057861" w:rsidRDefault="00933A4A" w:rsidP="00B22511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887400">
              <w:rPr>
                <w:rFonts w:asciiTheme="minorHAnsi" w:hAnsiTheme="minorHAnsi"/>
                <w:sz w:val="22"/>
                <w:szCs w:val="22"/>
              </w:rPr>
              <w:t>107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A4A" w:rsidRPr="00057861" w:rsidRDefault="00933A4A" w:rsidP="00B22511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887400">
              <w:rPr>
                <w:rFonts w:asciiTheme="minorHAnsi" w:hAnsiTheme="minorHAnsi"/>
                <w:sz w:val="22"/>
                <w:szCs w:val="22"/>
              </w:rPr>
              <w:t>121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A4A" w:rsidRPr="00057861" w:rsidRDefault="00933A4A" w:rsidP="00B22511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887400">
              <w:rPr>
                <w:rFonts w:asciiTheme="minorHAnsi" w:hAnsiTheme="minorHAnsi"/>
                <w:sz w:val="22"/>
                <w:szCs w:val="22"/>
              </w:rPr>
              <w:t>104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A4A" w:rsidRPr="00057861" w:rsidRDefault="00933A4A" w:rsidP="00B22511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3562D1">
              <w:rPr>
                <w:rFonts w:asciiTheme="minorHAnsi" w:hAnsiTheme="minorHAnsi"/>
                <w:sz w:val="22"/>
                <w:szCs w:val="22"/>
              </w:rPr>
              <w:t>112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A4A" w:rsidRPr="00057861" w:rsidRDefault="00933A4A" w:rsidP="00ED75B6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4A" w:rsidRPr="008E3930" w:rsidRDefault="00933A4A" w:rsidP="00C075F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A4A" w:rsidRPr="00E46DE6" w:rsidRDefault="00933A4A" w:rsidP="00ED75B6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-6%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A4A" w:rsidRPr="00E46DE6" w:rsidRDefault="00933A4A" w:rsidP="00ED75B6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2%</w:t>
            </w:r>
          </w:p>
        </w:tc>
      </w:tr>
      <w:tr w:rsidR="000D5CF2" w:rsidRPr="00FA3821" w:rsidTr="00995359">
        <w:trPr>
          <w:trHeight w:val="300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CF2" w:rsidRPr="00057861" w:rsidRDefault="000D5CF2" w:rsidP="00B22511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Feb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CF2" w:rsidRPr="00057861" w:rsidRDefault="000D5CF2" w:rsidP="00B22511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887400">
              <w:rPr>
                <w:rFonts w:asciiTheme="minorHAnsi" w:hAnsiTheme="minorHAnsi"/>
                <w:sz w:val="22"/>
                <w:szCs w:val="22"/>
              </w:rPr>
              <w:t>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CF2" w:rsidRPr="00057861" w:rsidRDefault="000D5CF2" w:rsidP="00B22511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887400">
              <w:rPr>
                <w:rFonts w:asciiTheme="minorHAnsi" w:hAnsiTheme="minorHAnsi"/>
                <w:sz w:val="22"/>
                <w:szCs w:val="22"/>
              </w:rPr>
              <w:t>109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CF2" w:rsidRPr="00057861" w:rsidRDefault="000D5CF2" w:rsidP="00B22511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887400">
              <w:rPr>
                <w:rFonts w:asciiTheme="minorHAnsi" w:hAnsiTheme="minorHAnsi"/>
                <w:sz w:val="22"/>
                <w:szCs w:val="22"/>
              </w:rPr>
              <w:t>114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CF2" w:rsidRPr="00057861" w:rsidRDefault="000D5CF2" w:rsidP="00B22511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EA74F9">
              <w:rPr>
                <w:rFonts w:asciiTheme="minorHAnsi" w:hAnsiTheme="minorHAnsi"/>
                <w:sz w:val="22"/>
                <w:szCs w:val="22"/>
              </w:rPr>
              <w:t>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CF2" w:rsidRPr="00EA74F9" w:rsidRDefault="000D5CF2" w:rsidP="00B22511">
            <w:pPr>
              <w:jc w:val="right"/>
              <w:rPr>
                <w:rFonts w:asciiTheme="minorHAnsi" w:hAnsiTheme="minorHAnsi"/>
              </w:rPr>
            </w:pPr>
            <w:r w:rsidRPr="005F60EE">
              <w:rPr>
                <w:rFonts w:asciiTheme="minorHAnsi" w:hAnsiTheme="minorHAnsi"/>
                <w:sz w:val="22"/>
                <w:szCs w:val="22"/>
              </w:rPr>
              <w:t>110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F2" w:rsidRPr="007D0987" w:rsidRDefault="000D5CF2" w:rsidP="00ED75B6">
            <w:pPr>
              <w:jc w:val="right"/>
              <w:rPr>
                <w:rFonts w:asciiTheme="minorHAnsi" w:hAnsiTheme="minorHAnsi"/>
              </w:rPr>
            </w:pPr>
            <w:r w:rsidRPr="007D0987">
              <w:rPr>
                <w:rFonts w:asciiTheme="minorHAnsi" w:hAnsiTheme="minorHAnsi"/>
                <w:sz w:val="22"/>
                <w:szCs w:val="22"/>
              </w:rPr>
              <w:t>157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CF2" w:rsidRPr="007D0987" w:rsidDel="00E07910" w:rsidRDefault="000D5CF2" w:rsidP="00C075FB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CF2" w:rsidRPr="007D0987" w:rsidRDefault="000D5CF2" w:rsidP="00ED75B6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-17%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CF2" w:rsidRPr="007D0987" w:rsidRDefault="000D5CF2" w:rsidP="00ED75B6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-4%</w:t>
            </w:r>
          </w:p>
        </w:tc>
      </w:tr>
      <w:tr w:rsidR="005179A3" w:rsidRPr="00FA3821" w:rsidTr="00497D81">
        <w:trPr>
          <w:trHeight w:val="300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9A3" w:rsidRPr="00057861" w:rsidRDefault="005179A3" w:rsidP="005179A3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Mar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9A3" w:rsidRPr="00057861" w:rsidRDefault="005179A3" w:rsidP="005179A3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887400">
              <w:rPr>
                <w:rFonts w:asciiTheme="minorHAnsi" w:hAnsiTheme="minorHAnsi"/>
                <w:sz w:val="22"/>
                <w:szCs w:val="22"/>
              </w:rPr>
              <w:t>104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9A3" w:rsidRPr="00057861" w:rsidRDefault="005179A3" w:rsidP="005179A3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887400">
              <w:rPr>
                <w:rFonts w:asciiTheme="minorHAnsi" w:hAnsiTheme="minorHAnsi"/>
                <w:sz w:val="22"/>
                <w:szCs w:val="22"/>
              </w:rPr>
              <w:t>114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9A3" w:rsidRPr="00057861" w:rsidRDefault="005179A3" w:rsidP="005179A3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887400">
              <w:rPr>
                <w:rFonts w:asciiTheme="minorHAnsi" w:hAnsiTheme="minorHAnsi"/>
                <w:sz w:val="22"/>
                <w:szCs w:val="22"/>
              </w:rPr>
              <w:t>116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9A3" w:rsidRPr="00057861" w:rsidRDefault="005179A3" w:rsidP="005179A3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8B53AD">
              <w:rPr>
                <w:rFonts w:asciiTheme="minorHAnsi" w:hAnsiTheme="minorHAnsi"/>
                <w:sz w:val="22"/>
                <w:szCs w:val="22"/>
              </w:rPr>
              <w:t>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9A3" w:rsidRPr="008B53AD" w:rsidRDefault="005179A3" w:rsidP="005179A3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9A3" w:rsidRPr="00ED75B6" w:rsidRDefault="005179A3" w:rsidP="005179A3">
            <w:pPr>
              <w:jc w:val="right"/>
              <w:rPr>
                <w:rFonts w:asciiTheme="minorHAnsi" w:hAnsiTheme="minorHAnsi"/>
              </w:rPr>
            </w:pPr>
            <w:r w:rsidRPr="00ED75B6">
              <w:rPr>
                <w:rFonts w:asciiTheme="minorHAnsi" w:hAnsiTheme="minorHAnsi"/>
                <w:sz w:val="22"/>
                <w:szCs w:val="22"/>
              </w:rPr>
              <w:t>164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9A3" w:rsidRPr="00497D81" w:rsidDel="00E07910" w:rsidRDefault="005179A3" w:rsidP="005179A3">
            <w:pPr>
              <w:jc w:val="right"/>
              <w:rPr>
                <w:rFonts w:ascii="Calibri" w:hAnsi="Calibri"/>
                <w:color w:val="000000"/>
              </w:rPr>
            </w:pPr>
            <w:r w:rsidRPr="00497D81">
              <w:rPr>
                <w:rFonts w:ascii="Calibri" w:hAnsi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9A3" w:rsidRPr="00497D81" w:rsidRDefault="005179A3" w:rsidP="005179A3">
            <w:pPr>
              <w:jc w:val="right"/>
              <w:rPr>
                <w:rFonts w:ascii="Calibri" w:hAnsi="Calibri"/>
                <w:color w:val="000000"/>
              </w:rPr>
            </w:pPr>
            <w:r w:rsidRPr="00497D81">
              <w:rPr>
                <w:rFonts w:ascii="Calibri" w:hAnsi="Calibri"/>
                <w:color w:val="000000"/>
                <w:sz w:val="22"/>
                <w:szCs w:val="22"/>
              </w:rPr>
              <w:t>-12%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9A3" w:rsidRPr="00497D81" w:rsidRDefault="005179A3" w:rsidP="005179A3">
            <w:pPr>
              <w:jc w:val="right"/>
              <w:rPr>
                <w:rFonts w:ascii="Calibri" w:hAnsi="Calibri"/>
                <w:color w:val="000000"/>
              </w:rPr>
            </w:pPr>
            <w:r w:rsidRPr="00497D81">
              <w:rPr>
                <w:rFonts w:ascii="Calibri" w:hAnsi="Calibri"/>
                <w:color w:val="000000"/>
                <w:sz w:val="22"/>
                <w:szCs w:val="22"/>
              </w:rPr>
              <w:t>11%</w:t>
            </w:r>
          </w:p>
        </w:tc>
      </w:tr>
      <w:tr w:rsidR="00933A4A" w:rsidRPr="00FA3821" w:rsidTr="00037118">
        <w:trPr>
          <w:trHeight w:val="300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A4A" w:rsidRPr="00057861" w:rsidRDefault="00933A4A" w:rsidP="00B22511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Apr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A4A" w:rsidRPr="00057861" w:rsidRDefault="00933A4A" w:rsidP="00B22511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887400">
              <w:rPr>
                <w:rFonts w:asciiTheme="minorHAnsi" w:hAnsiTheme="minorHAnsi"/>
                <w:sz w:val="22"/>
                <w:szCs w:val="22"/>
              </w:rPr>
              <w:t>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A4A" w:rsidRPr="00057861" w:rsidRDefault="00933A4A" w:rsidP="00B22511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887400">
              <w:rPr>
                <w:rFonts w:asciiTheme="minorHAnsi" w:hAnsiTheme="minorHAnsi"/>
                <w:sz w:val="22"/>
                <w:szCs w:val="22"/>
              </w:rPr>
              <w:t>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A4A" w:rsidRPr="00057861" w:rsidRDefault="00933A4A" w:rsidP="00B22511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887400">
              <w:rPr>
                <w:rFonts w:asciiTheme="minorHAnsi" w:hAnsiTheme="minorHAnsi"/>
                <w:sz w:val="22"/>
                <w:szCs w:val="22"/>
              </w:rPr>
              <w:t>123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A4A" w:rsidRPr="00057861" w:rsidRDefault="00933A4A" w:rsidP="00B22511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941A92">
              <w:rPr>
                <w:rFonts w:asciiTheme="minorHAnsi" w:hAnsiTheme="minorHAnsi"/>
                <w:sz w:val="22"/>
                <w:szCs w:val="22"/>
              </w:rPr>
              <w:t>108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A4A" w:rsidRPr="00941A92" w:rsidRDefault="00933A4A" w:rsidP="00B22511">
            <w:pPr>
              <w:jc w:val="right"/>
              <w:rPr>
                <w:rFonts w:asciiTheme="minorHAnsi" w:hAnsiTheme="minorHAnsi"/>
              </w:rPr>
            </w:pPr>
            <w:r w:rsidRPr="009164FC">
              <w:rPr>
                <w:rFonts w:ascii="Calibri" w:hAnsi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4A" w:rsidRPr="0065569D" w:rsidRDefault="00933A4A" w:rsidP="003562D1">
            <w:pPr>
              <w:jc w:val="right"/>
              <w:rPr>
                <w:rFonts w:asciiTheme="minorHAnsi" w:hAnsiTheme="minorHAnsi"/>
              </w:rPr>
            </w:pPr>
            <w:r w:rsidRPr="0065569D">
              <w:rPr>
                <w:rFonts w:asciiTheme="minorHAnsi" w:hAnsiTheme="minorHAnsi"/>
                <w:sz w:val="22"/>
                <w:szCs w:val="22"/>
              </w:rPr>
              <w:t>164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4A" w:rsidRPr="0065569D" w:rsidDel="00E07910" w:rsidRDefault="00037118" w:rsidP="00C075FB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A4A" w:rsidRPr="0065569D" w:rsidRDefault="00037118" w:rsidP="003562D1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-21%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A4A" w:rsidRPr="0065569D" w:rsidRDefault="00037118" w:rsidP="003562D1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-10%</w:t>
            </w:r>
          </w:p>
        </w:tc>
      </w:tr>
      <w:tr w:rsidR="00933A4A" w:rsidRPr="009439D8" w:rsidTr="00D46F82">
        <w:trPr>
          <w:trHeight w:val="300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A4A" w:rsidRPr="00057861" w:rsidRDefault="00933A4A" w:rsidP="00B22511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May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A4A" w:rsidRPr="00057861" w:rsidRDefault="00933A4A" w:rsidP="00B22511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887400">
              <w:rPr>
                <w:rFonts w:asciiTheme="minorHAnsi" w:hAnsiTheme="minorHAnsi"/>
                <w:sz w:val="22"/>
                <w:szCs w:val="22"/>
              </w:rPr>
              <w:t>105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A4A" w:rsidRPr="00057861" w:rsidRDefault="00933A4A" w:rsidP="00B22511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887400">
              <w:rPr>
                <w:rFonts w:asciiTheme="minorHAnsi" w:hAnsiTheme="minorHAnsi"/>
                <w:sz w:val="22"/>
                <w:szCs w:val="22"/>
              </w:rPr>
              <w:t>121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A4A" w:rsidRPr="00057861" w:rsidRDefault="00933A4A" w:rsidP="00B22511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887400">
              <w:rPr>
                <w:rFonts w:asciiTheme="minorHAnsi" w:hAnsiTheme="minorHAnsi"/>
                <w:sz w:val="22"/>
                <w:szCs w:val="22"/>
              </w:rPr>
              <w:t>125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A4A" w:rsidRPr="00057861" w:rsidRDefault="00933A4A" w:rsidP="00B22511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701653">
              <w:rPr>
                <w:rFonts w:asciiTheme="minorHAnsi" w:hAnsiTheme="minorHAnsi"/>
                <w:sz w:val="22"/>
                <w:szCs w:val="22"/>
              </w:rPr>
              <w:t>112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A4A" w:rsidRPr="00701653" w:rsidRDefault="00933A4A" w:rsidP="00B22511">
            <w:pPr>
              <w:jc w:val="right"/>
              <w:rPr>
                <w:rFonts w:asciiTheme="minorHAnsi" w:hAnsiTheme="minorHAnsi"/>
              </w:rPr>
            </w:pPr>
            <w:r w:rsidRPr="00674DCE">
              <w:rPr>
                <w:rFonts w:ascii="Calibri" w:hAnsi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4A" w:rsidRPr="007D6609" w:rsidRDefault="00933A4A" w:rsidP="003562D1">
            <w:pPr>
              <w:jc w:val="right"/>
              <w:rPr>
                <w:rFonts w:asciiTheme="minorHAnsi" w:hAnsiTheme="minorHAnsi"/>
              </w:rPr>
            </w:pPr>
            <w:r w:rsidRPr="007D6609">
              <w:rPr>
                <w:rFonts w:asciiTheme="minorHAnsi" w:hAnsiTheme="minorHAnsi"/>
                <w:sz w:val="22"/>
                <w:szCs w:val="22"/>
              </w:rPr>
              <w:t>163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4A" w:rsidRPr="007D6609" w:rsidDel="00E07910" w:rsidRDefault="00D46F82" w:rsidP="00C075FB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A4A" w:rsidRPr="007D6609" w:rsidRDefault="00D46F82" w:rsidP="003562D1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-7%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A4A" w:rsidRPr="007D6609" w:rsidRDefault="00D46F82" w:rsidP="003562D1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-17%</w:t>
            </w:r>
          </w:p>
        </w:tc>
      </w:tr>
      <w:tr w:rsidR="00933A4A" w:rsidRPr="00FA3821" w:rsidTr="00995359">
        <w:trPr>
          <w:trHeight w:val="300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A4A" w:rsidRPr="00057861" w:rsidRDefault="00933A4A" w:rsidP="00B22511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Jun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A4A" w:rsidRPr="00057861" w:rsidRDefault="00933A4A" w:rsidP="00B22511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887400">
              <w:rPr>
                <w:rFonts w:asciiTheme="minorHAnsi" w:hAnsiTheme="minorHAnsi"/>
                <w:sz w:val="22"/>
                <w:szCs w:val="22"/>
              </w:rPr>
              <w:t>107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A4A" w:rsidRPr="00057861" w:rsidRDefault="00933A4A" w:rsidP="00B22511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887400">
              <w:rPr>
                <w:rFonts w:asciiTheme="minorHAnsi" w:hAnsiTheme="minorHAnsi"/>
                <w:sz w:val="22"/>
                <w:szCs w:val="22"/>
              </w:rPr>
              <w:t>112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A4A" w:rsidRPr="00057861" w:rsidRDefault="00933A4A" w:rsidP="00B22511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887400">
              <w:rPr>
                <w:rFonts w:asciiTheme="minorHAnsi" w:hAnsiTheme="minorHAnsi"/>
                <w:sz w:val="22"/>
                <w:szCs w:val="22"/>
              </w:rPr>
              <w:t>126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A4A" w:rsidRPr="00057861" w:rsidRDefault="00933A4A" w:rsidP="00B22511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E619E3">
              <w:rPr>
                <w:rFonts w:asciiTheme="minorHAnsi" w:hAnsiTheme="minorHAnsi"/>
                <w:sz w:val="22"/>
                <w:szCs w:val="22"/>
              </w:rPr>
              <w:t>111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A4A" w:rsidRPr="00465EDF" w:rsidRDefault="00933A4A" w:rsidP="00B22511">
            <w:pPr>
              <w:jc w:val="right"/>
              <w:rPr>
                <w:rFonts w:asciiTheme="minorHAnsi" w:hAnsiTheme="minorHAnsi"/>
              </w:rPr>
            </w:pPr>
            <w:r w:rsidRPr="002E5E32">
              <w:rPr>
                <w:rFonts w:ascii="Calibri" w:hAnsi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4A" w:rsidRPr="002E5E32" w:rsidRDefault="00933A4A" w:rsidP="003562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3A4A" w:rsidDel="00E07910" w:rsidRDefault="00933A4A" w:rsidP="00C075FB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933A4A" w:rsidRPr="002E5E32" w:rsidRDefault="00933A4A" w:rsidP="003562D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933A4A" w:rsidRPr="002E5E32" w:rsidRDefault="00933A4A" w:rsidP="003562D1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933A4A" w:rsidRPr="00FA3821" w:rsidTr="00995359">
        <w:trPr>
          <w:trHeight w:val="300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A4A" w:rsidRPr="00057861" w:rsidRDefault="00933A4A" w:rsidP="00B22511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Jul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A4A" w:rsidRPr="00057861" w:rsidRDefault="00933A4A" w:rsidP="00B22511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887400"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A4A" w:rsidRPr="00057861" w:rsidRDefault="00933A4A" w:rsidP="00B22511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887400">
              <w:rPr>
                <w:rFonts w:asciiTheme="minorHAnsi" w:hAnsiTheme="minorHAnsi"/>
                <w:sz w:val="22"/>
                <w:szCs w:val="22"/>
              </w:rPr>
              <w:t>122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A4A" w:rsidRPr="00057861" w:rsidRDefault="00933A4A" w:rsidP="00B22511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887400">
              <w:rPr>
                <w:rFonts w:asciiTheme="minorHAnsi" w:hAnsiTheme="minorHAnsi"/>
                <w:sz w:val="22"/>
                <w:szCs w:val="22"/>
              </w:rPr>
              <w:t>139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A4A" w:rsidRPr="00057861" w:rsidRDefault="00933A4A" w:rsidP="00B22511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73E7F">
              <w:rPr>
                <w:rFonts w:asciiTheme="minorHAnsi" w:hAnsiTheme="minorHAnsi"/>
                <w:sz w:val="22"/>
                <w:szCs w:val="22"/>
              </w:rPr>
              <w:t>125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A4A" w:rsidRPr="00465EDF" w:rsidRDefault="00933A4A" w:rsidP="00B22511">
            <w:pPr>
              <w:jc w:val="right"/>
              <w:rPr>
                <w:rFonts w:asciiTheme="minorHAnsi" w:hAnsiTheme="minorHAnsi"/>
              </w:rPr>
            </w:pPr>
            <w:r w:rsidRPr="00DA6A4A">
              <w:rPr>
                <w:rFonts w:ascii="Calibri" w:hAnsi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4A" w:rsidRPr="00DA6A4A" w:rsidRDefault="00933A4A" w:rsidP="003562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3A4A" w:rsidDel="00E07910" w:rsidRDefault="00933A4A" w:rsidP="00C075FB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933A4A" w:rsidRPr="00DA6A4A" w:rsidRDefault="00933A4A" w:rsidP="003562D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933A4A" w:rsidRPr="00DA6A4A" w:rsidRDefault="00933A4A" w:rsidP="003562D1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933A4A" w:rsidRPr="00FA3821" w:rsidTr="00995359">
        <w:trPr>
          <w:trHeight w:val="300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A4A" w:rsidRPr="00057861" w:rsidRDefault="00933A4A" w:rsidP="00B22511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Aug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A4A" w:rsidRPr="00057861" w:rsidRDefault="00933A4A" w:rsidP="00B22511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887400">
              <w:rPr>
                <w:rFonts w:asciiTheme="minorHAnsi" w:hAnsiTheme="minorHAnsi"/>
                <w:sz w:val="22"/>
                <w:szCs w:val="22"/>
              </w:rPr>
              <w:t>112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A4A" w:rsidRPr="00057861" w:rsidRDefault="00933A4A" w:rsidP="00B22511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887400">
              <w:rPr>
                <w:rFonts w:asciiTheme="minorHAnsi" w:hAnsiTheme="minorHAnsi"/>
                <w:sz w:val="22"/>
                <w:szCs w:val="22"/>
              </w:rPr>
              <w:t>126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A4A" w:rsidRPr="00057861" w:rsidRDefault="00933A4A" w:rsidP="00B22511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887400">
              <w:rPr>
                <w:rFonts w:asciiTheme="minorHAnsi" w:hAnsiTheme="minorHAnsi"/>
                <w:sz w:val="22"/>
                <w:szCs w:val="22"/>
              </w:rPr>
              <w:t>134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A4A" w:rsidRPr="00057861" w:rsidRDefault="00933A4A" w:rsidP="00B22511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4E21E5">
              <w:rPr>
                <w:rFonts w:asciiTheme="minorHAnsi" w:hAnsiTheme="minorHAnsi"/>
                <w:sz w:val="22"/>
                <w:szCs w:val="22"/>
              </w:rPr>
              <w:t>117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A4A" w:rsidRPr="00465EDF" w:rsidRDefault="00933A4A" w:rsidP="00B22511">
            <w:pPr>
              <w:jc w:val="right"/>
              <w:rPr>
                <w:rFonts w:asciiTheme="minorHAnsi" w:hAnsiTheme="minorHAnsi"/>
              </w:rPr>
            </w:pPr>
            <w:r w:rsidRPr="008C26F9">
              <w:rPr>
                <w:rFonts w:ascii="Calibri" w:hAnsi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4A" w:rsidRPr="008C26F9" w:rsidRDefault="00933A4A" w:rsidP="003562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3A4A" w:rsidDel="00E07910" w:rsidRDefault="00933A4A" w:rsidP="00C075FB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933A4A" w:rsidRPr="008C26F9" w:rsidRDefault="00933A4A" w:rsidP="003562D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933A4A" w:rsidRPr="008C26F9" w:rsidRDefault="00933A4A" w:rsidP="003562D1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933A4A" w:rsidRPr="00FA3821" w:rsidTr="00995359">
        <w:trPr>
          <w:trHeight w:val="300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A4A" w:rsidRPr="00057861" w:rsidRDefault="00933A4A" w:rsidP="00B22511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Sep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A4A" w:rsidRPr="00057861" w:rsidRDefault="00933A4A" w:rsidP="00B22511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887400">
              <w:rPr>
                <w:rFonts w:asciiTheme="minorHAnsi" w:hAnsiTheme="minorHAnsi"/>
                <w:sz w:val="22"/>
                <w:szCs w:val="22"/>
              </w:rPr>
              <w:t>105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A4A" w:rsidRPr="00057861" w:rsidRDefault="00933A4A" w:rsidP="00B22511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887400">
              <w:rPr>
                <w:rFonts w:asciiTheme="minorHAnsi" w:hAnsiTheme="minorHAnsi"/>
                <w:sz w:val="22"/>
                <w:szCs w:val="22"/>
              </w:rPr>
              <w:t>111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A4A" w:rsidRPr="00057861" w:rsidRDefault="00933A4A" w:rsidP="00B22511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887400">
              <w:rPr>
                <w:rFonts w:asciiTheme="minorHAnsi" w:hAnsiTheme="minorHAnsi"/>
                <w:sz w:val="22"/>
                <w:szCs w:val="22"/>
              </w:rPr>
              <w:t>127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A4A" w:rsidRPr="00057861" w:rsidRDefault="00933A4A" w:rsidP="00B22511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111908">
              <w:rPr>
                <w:rFonts w:asciiTheme="minorHAnsi" w:hAnsiTheme="minorHAnsi"/>
                <w:sz w:val="22"/>
                <w:szCs w:val="22"/>
              </w:rPr>
              <w:t>122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A4A" w:rsidRPr="00465EDF" w:rsidRDefault="00933A4A" w:rsidP="00B22511">
            <w:pPr>
              <w:jc w:val="right"/>
              <w:rPr>
                <w:rFonts w:asciiTheme="minorHAnsi" w:hAnsiTheme="minorHAnsi"/>
              </w:rPr>
            </w:pPr>
            <w:r w:rsidRPr="00C00BFC">
              <w:rPr>
                <w:rFonts w:ascii="Calibri" w:hAnsi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4A" w:rsidRPr="00C00BFC" w:rsidRDefault="00933A4A" w:rsidP="003562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3A4A" w:rsidDel="00E07910" w:rsidRDefault="00933A4A" w:rsidP="00C075FB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933A4A" w:rsidRPr="00C00BFC" w:rsidRDefault="00933A4A" w:rsidP="003562D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933A4A" w:rsidRPr="00C00BFC" w:rsidRDefault="00933A4A" w:rsidP="003562D1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933A4A" w:rsidRPr="00FA3821" w:rsidTr="00995359">
        <w:trPr>
          <w:trHeight w:val="300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A4A" w:rsidRPr="00057861" w:rsidRDefault="00933A4A" w:rsidP="00B22511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Oct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A4A" w:rsidRPr="00057861" w:rsidRDefault="00933A4A" w:rsidP="00B22511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887400">
              <w:rPr>
                <w:rFonts w:asciiTheme="minorHAnsi" w:hAnsiTheme="minorHAnsi"/>
                <w:sz w:val="22"/>
                <w:szCs w:val="22"/>
              </w:rPr>
              <w:t>103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A4A" w:rsidRPr="00057861" w:rsidRDefault="00933A4A" w:rsidP="00B22511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887400">
              <w:rPr>
                <w:rFonts w:asciiTheme="minorHAnsi" w:hAnsiTheme="minorHAnsi"/>
                <w:sz w:val="22"/>
                <w:szCs w:val="22"/>
              </w:rPr>
              <w:t>134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A4A" w:rsidRPr="00057861" w:rsidRDefault="00933A4A" w:rsidP="00B22511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887400">
              <w:rPr>
                <w:rFonts w:asciiTheme="minorHAnsi" w:hAnsiTheme="minorHAnsi"/>
                <w:sz w:val="22"/>
                <w:szCs w:val="22"/>
              </w:rPr>
              <w:t>139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A4A" w:rsidRPr="00057861" w:rsidRDefault="00933A4A" w:rsidP="00B22511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D472B2">
              <w:rPr>
                <w:rFonts w:asciiTheme="minorHAnsi" w:hAnsiTheme="minorHAnsi"/>
                <w:sz w:val="22"/>
                <w:szCs w:val="22"/>
              </w:rPr>
              <w:t>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A4A" w:rsidRPr="00465EDF" w:rsidRDefault="00933A4A" w:rsidP="00B22511">
            <w:pPr>
              <w:jc w:val="right"/>
              <w:rPr>
                <w:rFonts w:asciiTheme="minorHAnsi" w:hAnsiTheme="minorHAnsi"/>
              </w:rPr>
            </w:pPr>
            <w:r w:rsidRPr="007E6CC9">
              <w:rPr>
                <w:rFonts w:ascii="Calibri" w:hAnsi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4A" w:rsidRPr="007E6CC9" w:rsidRDefault="00933A4A" w:rsidP="003562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3A4A" w:rsidDel="00E07910" w:rsidRDefault="00933A4A" w:rsidP="00C075FB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933A4A" w:rsidRPr="007E6CC9" w:rsidRDefault="00933A4A" w:rsidP="003562D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933A4A" w:rsidRPr="007E6CC9" w:rsidRDefault="00933A4A" w:rsidP="003562D1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933A4A" w:rsidRPr="00FA3821" w:rsidTr="00995359">
        <w:trPr>
          <w:trHeight w:val="300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A4A" w:rsidRPr="00057861" w:rsidRDefault="00933A4A" w:rsidP="00B22511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Nov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A4A" w:rsidRPr="00057861" w:rsidRDefault="00933A4A" w:rsidP="00B22511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887400">
              <w:rPr>
                <w:rFonts w:asciiTheme="minorHAnsi" w:hAnsiTheme="minorHAnsi"/>
                <w:sz w:val="22"/>
                <w:szCs w:val="22"/>
              </w:rPr>
              <w:t>109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A4A" w:rsidRPr="00057861" w:rsidRDefault="00933A4A" w:rsidP="00B22511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887400">
              <w:rPr>
                <w:rFonts w:asciiTheme="minorHAnsi" w:hAnsiTheme="minorHAnsi"/>
                <w:sz w:val="22"/>
                <w:szCs w:val="22"/>
              </w:rPr>
              <w:t>127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A4A" w:rsidRPr="00057861" w:rsidRDefault="00933A4A" w:rsidP="00B22511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887400">
              <w:rPr>
                <w:rFonts w:asciiTheme="minorHAnsi" w:hAnsiTheme="minorHAnsi"/>
                <w:sz w:val="22"/>
                <w:szCs w:val="22"/>
              </w:rPr>
              <w:t>125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A4A" w:rsidRPr="00057861" w:rsidRDefault="00933A4A" w:rsidP="00B22511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E558EE">
              <w:rPr>
                <w:rFonts w:asciiTheme="minorHAnsi" w:hAnsiTheme="minorHAnsi"/>
                <w:sz w:val="22"/>
                <w:szCs w:val="22"/>
              </w:rPr>
              <w:t>115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A4A" w:rsidRPr="00465EDF" w:rsidRDefault="00933A4A" w:rsidP="00B22511">
            <w:pPr>
              <w:jc w:val="right"/>
              <w:rPr>
                <w:rFonts w:asciiTheme="minorHAnsi" w:hAnsiTheme="minorHAnsi"/>
              </w:rPr>
            </w:pPr>
            <w:r w:rsidRPr="005653B4">
              <w:rPr>
                <w:rFonts w:ascii="Calibri" w:hAnsi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4A" w:rsidRPr="005653B4" w:rsidRDefault="00933A4A" w:rsidP="003562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3A4A" w:rsidDel="00E07910" w:rsidRDefault="00933A4A" w:rsidP="00C075FB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933A4A" w:rsidRPr="005653B4" w:rsidRDefault="00933A4A" w:rsidP="003562D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933A4A" w:rsidRPr="005653B4" w:rsidRDefault="00933A4A" w:rsidP="003562D1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933A4A" w:rsidRPr="00FA3821" w:rsidTr="00995359">
        <w:trPr>
          <w:trHeight w:val="300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A4A" w:rsidRPr="00057861" w:rsidRDefault="00933A4A" w:rsidP="00B22511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Dec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A4A" w:rsidRPr="00057861" w:rsidRDefault="00933A4A" w:rsidP="00B22511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887400">
              <w:rPr>
                <w:rFonts w:asciiTheme="minorHAnsi" w:hAnsiTheme="minorHAnsi"/>
                <w:sz w:val="22"/>
                <w:szCs w:val="22"/>
              </w:rPr>
              <w:t>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A4A" w:rsidRPr="00057861" w:rsidRDefault="00933A4A" w:rsidP="00B22511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887400">
              <w:rPr>
                <w:rFonts w:asciiTheme="minorHAnsi" w:hAnsiTheme="minorHAnsi"/>
                <w:sz w:val="22"/>
                <w:szCs w:val="22"/>
              </w:rPr>
              <w:t>104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A4A" w:rsidRPr="00057861" w:rsidRDefault="00933A4A" w:rsidP="00B22511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887400">
              <w:rPr>
                <w:rFonts w:asciiTheme="minorHAnsi" w:hAnsiTheme="minorHAnsi"/>
                <w:sz w:val="22"/>
                <w:szCs w:val="22"/>
              </w:rPr>
              <w:t>105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A4A" w:rsidRPr="00057861" w:rsidRDefault="00933A4A" w:rsidP="00B22511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465EDF">
              <w:rPr>
                <w:rFonts w:asciiTheme="minorHAnsi" w:hAnsiTheme="minorHAnsi"/>
                <w:sz w:val="22"/>
                <w:szCs w:val="22"/>
              </w:rPr>
              <w:t>105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A4A" w:rsidRPr="00465EDF" w:rsidRDefault="00933A4A" w:rsidP="00B22511">
            <w:pPr>
              <w:jc w:val="right"/>
              <w:rPr>
                <w:rFonts w:asciiTheme="minorHAnsi" w:hAnsiTheme="minorHAnsi"/>
              </w:rPr>
            </w:pPr>
            <w:r w:rsidRPr="005E7B15">
              <w:rPr>
                <w:rFonts w:ascii="Calibri" w:hAnsi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A4A" w:rsidRPr="00705164" w:rsidRDefault="00933A4A">
            <w:pPr>
              <w:jc w:val="right"/>
              <w:rPr>
                <w:rFonts w:ascii="Calibri" w:hAnsi="Calibri"/>
                <w:color w:val="000000"/>
              </w:rPr>
            </w:pPr>
            <w:r w:rsidRPr="00705164">
              <w:rPr>
                <w:rFonts w:ascii="Calibri" w:hAnsi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3A4A" w:rsidRPr="00705164" w:rsidDel="00E07910" w:rsidRDefault="00933A4A" w:rsidP="00C075FB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933A4A" w:rsidRPr="00705164" w:rsidRDefault="00933A4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933A4A" w:rsidRPr="00705164" w:rsidRDefault="00933A4A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</w:tbl>
    <w:p w:rsidR="00B22511" w:rsidRDefault="00B22511" w:rsidP="00B22511">
      <w:pPr>
        <w:tabs>
          <w:tab w:val="left" w:pos="3870"/>
        </w:tabs>
        <w:jc w:val="center"/>
        <w:rPr>
          <w:rFonts w:ascii="Arial" w:hAnsi="Arial" w:cs="Arial"/>
          <w:bCs/>
          <w:sz w:val="22"/>
          <w:szCs w:val="22"/>
        </w:rPr>
      </w:pPr>
    </w:p>
    <w:p w:rsidR="00CF4448" w:rsidRPr="00887400" w:rsidRDefault="00CF4448" w:rsidP="00CF4448">
      <w:pPr>
        <w:tabs>
          <w:tab w:val="left" w:pos="3870"/>
        </w:tabs>
        <w:jc w:val="center"/>
        <w:rPr>
          <w:rFonts w:asciiTheme="minorHAnsi" w:hAnsiTheme="minorHAnsi" w:cs="Arial"/>
          <w:bCs/>
          <w:sz w:val="22"/>
          <w:szCs w:val="22"/>
        </w:rPr>
      </w:pPr>
    </w:p>
    <w:p w:rsidR="00CF4448" w:rsidRDefault="00D46F82" w:rsidP="00CF4448">
      <w:pPr>
        <w:tabs>
          <w:tab w:val="left" w:pos="3870"/>
        </w:tabs>
        <w:jc w:val="center"/>
        <w:rPr>
          <w:rFonts w:ascii="Arial" w:hAnsi="Arial" w:cs="Arial"/>
          <w:bCs/>
          <w:sz w:val="22"/>
          <w:szCs w:val="22"/>
        </w:rPr>
      </w:pPr>
      <w:r>
        <w:rPr>
          <w:noProof/>
        </w:rPr>
        <w:drawing>
          <wp:inline distT="0" distB="0" distL="0" distR="0">
            <wp:extent cx="5629275" cy="4438650"/>
            <wp:effectExtent l="0" t="0" r="9525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22511" w:rsidRDefault="00B22511" w:rsidP="00931B83"/>
    <w:sectPr w:rsidR="00B22511" w:rsidSect="00B22511">
      <w:headerReference w:type="default" r:id="rId10"/>
      <w:pgSz w:w="12240" w:h="15840"/>
      <w:pgMar w:top="1166" w:right="1152" w:bottom="187" w:left="1152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D1C" w:rsidRDefault="00B55D1C" w:rsidP="00632632">
      <w:r>
        <w:separator/>
      </w:r>
    </w:p>
  </w:endnote>
  <w:endnote w:type="continuationSeparator" w:id="0">
    <w:p w:rsidR="00B55D1C" w:rsidRDefault="00B55D1C" w:rsidP="0063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D1C" w:rsidRDefault="00B55D1C" w:rsidP="00632632">
      <w:r>
        <w:separator/>
      </w:r>
    </w:p>
  </w:footnote>
  <w:footnote w:type="continuationSeparator" w:id="0">
    <w:p w:rsidR="00B55D1C" w:rsidRDefault="00B55D1C" w:rsidP="00632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D1C" w:rsidRDefault="00B55D1C" w:rsidP="00B22511">
    <w:pPr>
      <w:ind w:left="-450" w:right="-342"/>
      <w:rPr>
        <w:rFonts w:ascii="Arial" w:hAnsi="Arial" w:cs="Arial"/>
        <w:b/>
        <w:color w:val="1F497D" w:themeColor="text2"/>
        <w:sz w:val="28"/>
        <w:szCs w:val="22"/>
      </w:rPr>
    </w:pPr>
    <w:r w:rsidRPr="005E44D6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4549140</wp:posOffset>
          </wp:positionH>
          <wp:positionV relativeFrom="paragraph">
            <wp:posOffset>94615</wp:posOffset>
          </wp:positionV>
          <wp:extent cx="1783080" cy="703580"/>
          <wp:effectExtent l="0" t="0" r="7620" b="1270"/>
          <wp:wrapSquare wrapText="bothSides"/>
          <wp:docPr id="6" name="Picture 1" descr="TranCore Link Logistics Logo(CMYK)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nCore Link Logistics Logo(CMYK)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3080" cy="703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55D1C" w:rsidRDefault="00B55D1C" w:rsidP="00B22511">
    <w:pPr>
      <w:ind w:left="-450" w:right="234"/>
      <w:rPr>
        <w:rFonts w:ascii="Arial" w:hAnsi="Arial" w:cs="Arial"/>
        <w:b/>
        <w:color w:val="1F497D" w:themeColor="text2"/>
        <w:sz w:val="28"/>
        <w:szCs w:val="22"/>
      </w:rPr>
    </w:pPr>
  </w:p>
  <w:p w:rsidR="00B55D1C" w:rsidRDefault="00B55D1C" w:rsidP="00A745D8">
    <w:pPr>
      <w:ind w:left="-450" w:right="234"/>
      <w:rPr>
        <w:rFonts w:ascii="Arial" w:hAnsi="Arial" w:cs="Arial"/>
        <w:b/>
        <w:color w:val="1F497D" w:themeColor="text2"/>
        <w:sz w:val="28"/>
        <w:szCs w:val="22"/>
      </w:rPr>
    </w:pPr>
    <w:r w:rsidRPr="00980284">
      <w:rPr>
        <w:rFonts w:ascii="Arial" w:hAnsi="Arial" w:cs="Arial"/>
        <w:b/>
        <w:color w:val="1F497D" w:themeColor="text2"/>
        <w:sz w:val="28"/>
        <w:szCs w:val="22"/>
      </w:rPr>
      <w:t>TransCore’s Canadian Freight Index –</w:t>
    </w:r>
    <w:r>
      <w:rPr>
        <w:rFonts w:ascii="Arial" w:hAnsi="Arial" w:cs="Arial"/>
        <w:b/>
        <w:color w:val="1F497D" w:themeColor="text2"/>
        <w:sz w:val="28"/>
        <w:szCs w:val="22"/>
      </w:rPr>
      <w:t xml:space="preserve"> May 2017</w:t>
    </w:r>
  </w:p>
  <w:p w:rsidR="00B55D1C" w:rsidRPr="00980284" w:rsidRDefault="00B55D1C" w:rsidP="00B22511">
    <w:pPr>
      <w:pBdr>
        <w:bottom w:val="single" w:sz="12" w:space="1" w:color="1F497D" w:themeColor="text2"/>
      </w:pBdr>
      <w:ind w:left="-450" w:right="-342"/>
      <w:rPr>
        <w:rFonts w:ascii="Arial" w:hAnsi="Arial" w:cs="Arial"/>
        <w:b/>
        <w:color w:val="1F497D" w:themeColor="text2"/>
        <w:sz w:val="28"/>
        <w:szCs w:val="22"/>
      </w:rPr>
    </w:pPr>
  </w:p>
  <w:p w:rsidR="00B55D1C" w:rsidRDefault="00B55D1C" w:rsidP="00B22511">
    <w:pPr>
      <w:pStyle w:val="BalloonText"/>
      <w:jc w:val="right"/>
    </w:pPr>
  </w:p>
  <w:p w:rsidR="00B55D1C" w:rsidRDefault="00B55D1C" w:rsidP="00B22511">
    <w:pPr>
      <w:pStyle w:val="BalloonTex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E3A9D"/>
    <w:multiLevelType w:val="hybridMultilevel"/>
    <w:tmpl w:val="CCBCD1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37F18"/>
    <w:multiLevelType w:val="hybridMultilevel"/>
    <w:tmpl w:val="4C32A2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C6D44"/>
    <w:multiLevelType w:val="hybridMultilevel"/>
    <w:tmpl w:val="4418BD7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BE688D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1F497D" w:themeColor="text2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B6266B"/>
    <w:multiLevelType w:val="hybridMultilevel"/>
    <w:tmpl w:val="3132C2D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B827ED"/>
    <w:multiLevelType w:val="hybridMultilevel"/>
    <w:tmpl w:val="5C826CE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A374B"/>
    <w:multiLevelType w:val="hybridMultilevel"/>
    <w:tmpl w:val="CB8EA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D7F6E0E"/>
    <w:multiLevelType w:val="hybridMultilevel"/>
    <w:tmpl w:val="C1AA3DB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A0C08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F6228" w:themeColor="accent3" w:themeShade="80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activeWritingStyle w:appName="MSWord" w:lang="en-US" w:vendorID="64" w:dllVersion="6" w:nlCheck="1" w:checkStyle="0"/>
  <w:activeWritingStyle w:appName="MSWord" w:lang="en-CA" w:vendorID="64" w:dllVersion="6" w:nlCheck="1" w:checkStyle="0"/>
  <w:activeWritingStyle w:appName="MSWord" w:lang="fr-CA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448"/>
    <w:rsid w:val="000037BE"/>
    <w:rsid w:val="00005E35"/>
    <w:rsid w:val="000127D7"/>
    <w:rsid w:val="00027482"/>
    <w:rsid w:val="0003208C"/>
    <w:rsid w:val="00037118"/>
    <w:rsid w:val="00053DE0"/>
    <w:rsid w:val="00073E7F"/>
    <w:rsid w:val="00090C9C"/>
    <w:rsid w:val="0009158B"/>
    <w:rsid w:val="000A389A"/>
    <w:rsid w:val="000A6A0C"/>
    <w:rsid w:val="000C0137"/>
    <w:rsid w:val="000C0541"/>
    <w:rsid w:val="000D085A"/>
    <w:rsid w:val="000D395F"/>
    <w:rsid w:val="000D5CF2"/>
    <w:rsid w:val="001044F5"/>
    <w:rsid w:val="00111908"/>
    <w:rsid w:val="00112898"/>
    <w:rsid w:val="00117A11"/>
    <w:rsid w:val="00120980"/>
    <w:rsid w:val="00122075"/>
    <w:rsid w:val="00125488"/>
    <w:rsid w:val="00127C95"/>
    <w:rsid w:val="001555F7"/>
    <w:rsid w:val="00162E92"/>
    <w:rsid w:val="00165184"/>
    <w:rsid w:val="001766FE"/>
    <w:rsid w:val="00183216"/>
    <w:rsid w:val="001933FF"/>
    <w:rsid w:val="0019385D"/>
    <w:rsid w:val="001948C9"/>
    <w:rsid w:val="00196EE4"/>
    <w:rsid w:val="001A0D23"/>
    <w:rsid w:val="001A6E57"/>
    <w:rsid w:val="001B22CB"/>
    <w:rsid w:val="001B303D"/>
    <w:rsid w:val="001C5948"/>
    <w:rsid w:val="001E429A"/>
    <w:rsid w:val="00203D8B"/>
    <w:rsid w:val="00205EC1"/>
    <w:rsid w:val="002078ED"/>
    <w:rsid w:val="00217E8A"/>
    <w:rsid w:val="00223F7B"/>
    <w:rsid w:val="00224CFC"/>
    <w:rsid w:val="0022589E"/>
    <w:rsid w:val="002332E1"/>
    <w:rsid w:val="00233F17"/>
    <w:rsid w:val="00235883"/>
    <w:rsid w:val="0024151C"/>
    <w:rsid w:val="002437D3"/>
    <w:rsid w:val="00251572"/>
    <w:rsid w:val="002573D2"/>
    <w:rsid w:val="0026277C"/>
    <w:rsid w:val="002633BB"/>
    <w:rsid w:val="00265702"/>
    <w:rsid w:val="0027006A"/>
    <w:rsid w:val="0027466B"/>
    <w:rsid w:val="00276E96"/>
    <w:rsid w:val="0027774F"/>
    <w:rsid w:val="00292CCC"/>
    <w:rsid w:val="002A79A1"/>
    <w:rsid w:val="002B495F"/>
    <w:rsid w:val="002C4BCC"/>
    <w:rsid w:val="002C538D"/>
    <w:rsid w:val="002D4942"/>
    <w:rsid w:val="002D6B20"/>
    <w:rsid w:val="002E0442"/>
    <w:rsid w:val="002E109A"/>
    <w:rsid w:val="002E5E32"/>
    <w:rsid w:val="002F1B11"/>
    <w:rsid w:val="002F2715"/>
    <w:rsid w:val="002F3D0F"/>
    <w:rsid w:val="00301096"/>
    <w:rsid w:val="00304C97"/>
    <w:rsid w:val="00310380"/>
    <w:rsid w:val="00313256"/>
    <w:rsid w:val="003211DF"/>
    <w:rsid w:val="00345770"/>
    <w:rsid w:val="00353315"/>
    <w:rsid w:val="003562D1"/>
    <w:rsid w:val="00362321"/>
    <w:rsid w:val="00367D0F"/>
    <w:rsid w:val="00372709"/>
    <w:rsid w:val="003832FE"/>
    <w:rsid w:val="0039138F"/>
    <w:rsid w:val="003920E2"/>
    <w:rsid w:val="003A7C60"/>
    <w:rsid w:val="003B4374"/>
    <w:rsid w:val="003C19AE"/>
    <w:rsid w:val="003C3B3F"/>
    <w:rsid w:val="003C4D73"/>
    <w:rsid w:val="003D0FA2"/>
    <w:rsid w:val="003E1CD6"/>
    <w:rsid w:val="003F3D40"/>
    <w:rsid w:val="003F714E"/>
    <w:rsid w:val="00400A05"/>
    <w:rsid w:val="00404F6C"/>
    <w:rsid w:val="00412B07"/>
    <w:rsid w:val="004140AE"/>
    <w:rsid w:val="00414726"/>
    <w:rsid w:val="00414965"/>
    <w:rsid w:val="004162A0"/>
    <w:rsid w:val="004165D0"/>
    <w:rsid w:val="004172A3"/>
    <w:rsid w:val="00420196"/>
    <w:rsid w:val="00421E8F"/>
    <w:rsid w:val="004256B3"/>
    <w:rsid w:val="00427463"/>
    <w:rsid w:val="004300F7"/>
    <w:rsid w:val="0043457B"/>
    <w:rsid w:val="00442A03"/>
    <w:rsid w:val="00444FC6"/>
    <w:rsid w:val="00451236"/>
    <w:rsid w:val="00462421"/>
    <w:rsid w:val="00464C6D"/>
    <w:rsid w:val="00464F87"/>
    <w:rsid w:val="00465EDF"/>
    <w:rsid w:val="0047083C"/>
    <w:rsid w:val="00480558"/>
    <w:rsid w:val="0048767C"/>
    <w:rsid w:val="00491F73"/>
    <w:rsid w:val="00497D81"/>
    <w:rsid w:val="004A0343"/>
    <w:rsid w:val="004A3B9A"/>
    <w:rsid w:val="004A74C7"/>
    <w:rsid w:val="004B1104"/>
    <w:rsid w:val="004B3950"/>
    <w:rsid w:val="004B5B7B"/>
    <w:rsid w:val="004B66C4"/>
    <w:rsid w:val="004B7C1D"/>
    <w:rsid w:val="004C1A31"/>
    <w:rsid w:val="004D0398"/>
    <w:rsid w:val="004E21E5"/>
    <w:rsid w:val="004E2DE4"/>
    <w:rsid w:val="005019B6"/>
    <w:rsid w:val="00504AF4"/>
    <w:rsid w:val="00511D8B"/>
    <w:rsid w:val="005147E3"/>
    <w:rsid w:val="0051626C"/>
    <w:rsid w:val="00516BEE"/>
    <w:rsid w:val="005179A3"/>
    <w:rsid w:val="00520B21"/>
    <w:rsid w:val="0052445B"/>
    <w:rsid w:val="00533A35"/>
    <w:rsid w:val="00553FA0"/>
    <w:rsid w:val="00554924"/>
    <w:rsid w:val="00557CA8"/>
    <w:rsid w:val="005653B4"/>
    <w:rsid w:val="00570D4E"/>
    <w:rsid w:val="00572575"/>
    <w:rsid w:val="005A35B4"/>
    <w:rsid w:val="005A4702"/>
    <w:rsid w:val="005B5E0D"/>
    <w:rsid w:val="005C1F19"/>
    <w:rsid w:val="005E0AD8"/>
    <w:rsid w:val="005E38D9"/>
    <w:rsid w:val="005E60BD"/>
    <w:rsid w:val="005E7B15"/>
    <w:rsid w:val="005F60EE"/>
    <w:rsid w:val="00601969"/>
    <w:rsid w:val="00605A53"/>
    <w:rsid w:val="00623658"/>
    <w:rsid w:val="00626C33"/>
    <w:rsid w:val="00631DA3"/>
    <w:rsid w:val="00632632"/>
    <w:rsid w:val="006333F6"/>
    <w:rsid w:val="00633F78"/>
    <w:rsid w:val="00635F29"/>
    <w:rsid w:val="0065569D"/>
    <w:rsid w:val="00655A73"/>
    <w:rsid w:val="0066380E"/>
    <w:rsid w:val="00663EE3"/>
    <w:rsid w:val="00674B76"/>
    <w:rsid w:val="00674DCE"/>
    <w:rsid w:val="00683C18"/>
    <w:rsid w:val="0068781D"/>
    <w:rsid w:val="00690172"/>
    <w:rsid w:val="006936CF"/>
    <w:rsid w:val="006A733A"/>
    <w:rsid w:val="006A787A"/>
    <w:rsid w:val="006A7B4B"/>
    <w:rsid w:val="006D0BCC"/>
    <w:rsid w:val="006D4956"/>
    <w:rsid w:val="006D5EAE"/>
    <w:rsid w:val="006D77BD"/>
    <w:rsid w:val="006E130C"/>
    <w:rsid w:val="006E6809"/>
    <w:rsid w:val="006E7AC5"/>
    <w:rsid w:val="006F325D"/>
    <w:rsid w:val="006F3ED0"/>
    <w:rsid w:val="006F5060"/>
    <w:rsid w:val="00701653"/>
    <w:rsid w:val="00705164"/>
    <w:rsid w:val="00715AAE"/>
    <w:rsid w:val="0072361B"/>
    <w:rsid w:val="00727EB2"/>
    <w:rsid w:val="00735C21"/>
    <w:rsid w:val="007425B2"/>
    <w:rsid w:val="0076335F"/>
    <w:rsid w:val="00767358"/>
    <w:rsid w:val="00770670"/>
    <w:rsid w:val="00787666"/>
    <w:rsid w:val="00792072"/>
    <w:rsid w:val="007A336D"/>
    <w:rsid w:val="007A5DA9"/>
    <w:rsid w:val="007A5DE1"/>
    <w:rsid w:val="007D0987"/>
    <w:rsid w:val="007D114C"/>
    <w:rsid w:val="007D1372"/>
    <w:rsid w:val="007D6609"/>
    <w:rsid w:val="007E3169"/>
    <w:rsid w:val="007E3795"/>
    <w:rsid w:val="007E6CC9"/>
    <w:rsid w:val="007E705D"/>
    <w:rsid w:val="007F3157"/>
    <w:rsid w:val="007F4392"/>
    <w:rsid w:val="0081215E"/>
    <w:rsid w:val="008124F5"/>
    <w:rsid w:val="00817A5C"/>
    <w:rsid w:val="00825B6D"/>
    <w:rsid w:val="008270A0"/>
    <w:rsid w:val="00827E0F"/>
    <w:rsid w:val="008336BB"/>
    <w:rsid w:val="0083488A"/>
    <w:rsid w:val="008370BD"/>
    <w:rsid w:val="00853FD9"/>
    <w:rsid w:val="008556A4"/>
    <w:rsid w:val="00857810"/>
    <w:rsid w:val="00864FB1"/>
    <w:rsid w:val="0086576D"/>
    <w:rsid w:val="00883162"/>
    <w:rsid w:val="008907A2"/>
    <w:rsid w:val="00890B48"/>
    <w:rsid w:val="00892842"/>
    <w:rsid w:val="00893FBA"/>
    <w:rsid w:val="008B21BF"/>
    <w:rsid w:val="008B73EE"/>
    <w:rsid w:val="008C26F9"/>
    <w:rsid w:val="008D2EA5"/>
    <w:rsid w:val="008D6FE9"/>
    <w:rsid w:val="008E0724"/>
    <w:rsid w:val="008E3A3A"/>
    <w:rsid w:val="008E4CF1"/>
    <w:rsid w:val="008E5287"/>
    <w:rsid w:val="008E60AD"/>
    <w:rsid w:val="008E6EE8"/>
    <w:rsid w:val="008F5322"/>
    <w:rsid w:val="00900751"/>
    <w:rsid w:val="00905E29"/>
    <w:rsid w:val="009164FC"/>
    <w:rsid w:val="00920CD6"/>
    <w:rsid w:val="009220A5"/>
    <w:rsid w:val="00924E16"/>
    <w:rsid w:val="009274D4"/>
    <w:rsid w:val="00930722"/>
    <w:rsid w:val="009310BF"/>
    <w:rsid w:val="00931B83"/>
    <w:rsid w:val="009334F6"/>
    <w:rsid w:val="00933A4A"/>
    <w:rsid w:val="00933AD0"/>
    <w:rsid w:val="00934A78"/>
    <w:rsid w:val="00945FFC"/>
    <w:rsid w:val="00946B54"/>
    <w:rsid w:val="00951A23"/>
    <w:rsid w:val="00960FC7"/>
    <w:rsid w:val="009622F3"/>
    <w:rsid w:val="0096371B"/>
    <w:rsid w:val="00964190"/>
    <w:rsid w:val="00967297"/>
    <w:rsid w:val="00974A68"/>
    <w:rsid w:val="009800B8"/>
    <w:rsid w:val="00980137"/>
    <w:rsid w:val="00992A51"/>
    <w:rsid w:val="00992D2F"/>
    <w:rsid w:val="00995359"/>
    <w:rsid w:val="009A5311"/>
    <w:rsid w:val="009A6DBE"/>
    <w:rsid w:val="009B07D4"/>
    <w:rsid w:val="009B3288"/>
    <w:rsid w:val="009B7B3B"/>
    <w:rsid w:val="009C4EE4"/>
    <w:rsid w:val="009C6304"/>
    <w:rsid w:val="009C7393"/>
    <w:rsid w:val="009C7ADC"/>
    <w:rsid w:val="009D3FB7"/>
    <w:rsid w:val="009E428A"/>
    <w:rsid w:val="009E60A4"/>
    <w:rsid w:val="009E7BAC"/>
    <w:rsid w:val="009F4291"/>
    <w:rsid w:val="009F5B04"/>
    <w:rsid w:val="009F6B5E"/>
    <w:rsid w:val="00A02140"/>
    <w:rsid w:val="00A05152"/>
    <w:rsid w:val="00A07972"/>
    <w:rsid w:val="00A14EC0"/>
    <w:rsid w:val="00A16159"/>
    <w:rsid w:val="00A260A3"/>
    <w:rsid w:val="00A42401"/>
    <w:rsid w:val="00A42667"/>
    <w:rsid w:val="00A45A07"/>
    <w:rsid w:val="00A62CFD"/>
    <w:rsid w:val="00A63CAC"/>
    <w:rsid w:val="00A659F8"/>
    <w:rsid w:val="00A71FFC"/>
    <w:rsid w:val="00A745D8"/>
    <w:rsid w:val="00A75511"/>
    <w:rsid w:val="00A75F56"/>
    <w:rsid w:val="00A76F31"/>
    <w:rsid w:val="00A83310"/>
    <w:rsid w:val="00A86579"/>
    <w:rsid w:val="00A86AC0"/>
    <w:rsid w:val="00A93E62"/>
    <w:rsid w:val="00A97DEB"/>
    <w:rsid w:val="00AA360A"/>
    <w:rsid w:val="00AA7459"/>
    <w:rsid w:val="00AB11BC"/>
    <w:rsid w:val="00AB2480"/>
    <w:rsid w:val="00AB402D"/>
    <w:rsid w:val="00AC25CE"/>
    <w:rsid w:val="00AC2E96"/>
    <w:rsid w:val="00AC7363"/>
    <w:rsid w:val="00AD04EC"/>
    <w:rsid w:val="00AD0AFE"/>
    <w:rsid w:val="00AD5407"/>
    <w:rsid w:val="00AE4B60"/>
    <w:rsid w:val="00AF09E9"/>
    <w:rsid w:val="00AF4E06"/>
    <w:rsid w:val="00B06491"/>
    <w:rsid w:val="00B0726E"/>
    <w:rsid w:val="00B077FB"/>
    <w:rsid w:val="00B1452D"/>
    <w:rsid w:val="00B1780A"/>
    <w:rsid w:val="00B22511"/>
    <w:rsid w:val="00B22CED"/>
    <w:rsid w:val="00B25961"/>
    <w:rsid w:val="00B32061"/>
    <w:rsid w:val="00B35BE2"/>
    <w:rsid w:val="00B35ED1"/>
    <w:rsid w:val="00B4305E"/>
    <w:rsid w:val="00B47372"/>
    <w:rsid w:val="00B52734"/>
    <w:rsid w:val="00B559E8"/>
    <w:rsid w:val="00B55D1C"/>
    <w:rsid w:val="00B567B6"/>
    <w:rsid w:val="00B62C78"/>
    <w:rsid w:val="00B81458"/>
    <w:rsid w:val="00B8406A"/>
    <w:rsid w:val="00B84599"/>
    <w:rsid w:val="00B93F62"/>
    <w:rsid w:val="00BA063C"/>
    <w:rsid w:val="00BA2993"/>
    <w:rsid w:val="00BA3CA9"/>
    <w:rsid w:val="00BA58D0"/>
    <w:rsid w:val="00BA7C46"/>
    <w:rsid w:val="00BB4500"/>
    <w:rsid w:val="00BC3CBF"/>
    <w:rsid w:val="00BC7180"/>
    <w:rsid w:val="00BE6056"/>
    <w:rsid w:val="00BF1401"/>
    <w:rsid w:val="00BF3D0C"/>
    <w:rsid w:val="00BF4CCB"/>
    <w:rsid w:val="00BF6DC0"/>
    <w:rsid w:val="00BF7BCD"/>
    <w:rsid w:val="00C0053F"/>
    <w:rsid w:val="00C00BFC"/>
    <w:rsid w:val="00C03AF6"/>
    <w:rsid w:val="00C04EC5"/>
    <w:rsid w:val="00C05618"/>
    <w:rsid w:val="00C075FB"/>
    <w:rsid w:val="00C109F6"/>
    <w:rsid w:val="00C132C0"/>
    <w:rsid w:val="00C2428D"/>
    <w:rsid w:val="00C36D3F"/>
    <w:rsid w:val="00C42BBC"/>
    <w:rsid w:val="00C478FE"/>
    <w:rsid w:val="00C537B2"/>
    <w:rsid w:val="00C53F97"/>
    <w:rsid w:val="00C57E7B"/>
    <w:rsid w:val="00C622C6"/>
    <w:rsid w:val="00C632C3"/>
    <w:rsid w:val="00C802B4"/>
    <w:rsid w:val="00C85B7D"/>
    <w:rsid w:val="00C96587"/>
    <w:rsid w:val="00CA137A"/>
    <w:rsid w:val="00CB7124"/>
    <w:rsid w:val="00CC2C06"/>
    <w:rsid w:val="00CC4853"/>
    <w:rsid w:val="00CD0EDD"/>
    <w:rsid w:val="00CD5B7B"/>
    <w:rsid w:val="00CD7C99"/>
    <w:rsid w:val="00CE1481"/>
    <w:rsid w:val="00CE2443"/>
    <w:rsid w:val="00CE2C34"/>
    <w:rsid w:val="00CF4448"/>
    <w:rsid w:val="00CF450E"/>
    <w:rsid w:val="00CF453A"/>
    <w:rsid w:val="00CF6E89"/>
    <w:rsid w:val="00D04C78"/>
    <w:rsid w:val="00D15C00"/>
    <w:rsid w:val="00D17D96"/>
    <w:rsid w:val="00D2238E"/>
    <w:rsid w:val="00D238DD"/>
    <w:rsid w:val="00D46F82"/>
    <w:rsid w:val="00D472B2"/>
    <w:rsid w:val="00D55E5F"/>
    <w:rsid w:val="00D71C44"/>
    <w:rsid w:val="00D72D61"/>
    <w:rsid w:val="00D803A4"/>
    <w:rsid w:val="00D80E56"/>
    <w:rsid w:val="00D82153"/>
    <w:rsid w:val="00D91E45"/>
    <w:rsid w:val="00DA6A4A"/>
    <w:rsid w:val="00DB410C"/>
    <w:rsid w:val="00DB7F3D"/>
    <w:rsid w:val="00DC4F00"/>
    <w:rsid w:val="00DC7150"/>
    <w:rsid w:val="00DD28DA"/>
    <w:rsid w:val="00DD5FB8"/>
    <w:rsid w:val="00DE1B30"/>
    <w:rsid w:val="00DE1E6C"/>
    <w:rsid w:val="00DE6CAD"/>
    <w:rsid w:val="00DF24BF"/>
    <w:rsid w:val="00DF4226"/>
    <w:rsid w:val="00DF4795"/>
    <w:rsid w:val="00E14AE6"/>
    <w:rsid w:val="00E16C04"/>
    <w:rsid w:val="00E27F98"/>
    <w:rsid w:val="00E34662"/>
    <w:rsid w:val="00E40C61"/>
    <w:rsid w:val="00E467C8"/>
    <w:rsid w:val="00E558EE"/>
    <w:rsid w:val="00E619E3"/>
    <w:rsid w:val="00E648EC"/>
    <w:rsid w:val="00E711DD"/>
    <w:rsid w:val="00E7288A"/>
    <w:rsid w:val="00E7623F"/>
    <w:rsid w:val="00E862C9"/>
    <w:rsid w:val="00EA0052"/>
    <w:rsid w:val="00EA31B7"/>
    <w:rsid w:val="00EA5A50"/>
    <w:rsid w:val="00EA799F"/>
    <w:rsid w:val="00EC49F3"/>
    <w:rsid w:val="00EC6A7C"/>
    <w:rsid w:val="00ED02B9"/>
    <w:rsid w:val="00ED0DF1"/>
    <w:rsid w:val="00ED55DE"/>
    <w:rsid w:val="00ED75B6"/>
    <w:rsid w:val="00ED7CBD"/>
    <w:rsid w:val="00EE0F78"/>
    <w:rsid w:val="00EE197A"/>
    <w:rsid w:val="00EF2C68"/>
    <w:rsid w:val="00F11951"/>
    <w:rsid w:val="00F14C52"/>
    <w:rsid w:val="00F15A48"/>
    <w:rsid w:val="00F17DA9"/>
    <w:rsid w:val="00F214E0"/>
    <w:rsid w:val="00F274F0"/>
    <w:rsid w:val="00F27CB5"/>
    <w:rsid w:val="00F3275E"/>
    <w:rsid w:val="00F4407E"/>
    <w:rsid w:val="00F4463A"/>
    <w:rsid w:val="00F46D6F"/>
    <w:rsid w:val="00F571CF"/>
    <w:rsid w:val="00F74FC1"/>
    <w:rsid w:val="00F75ECE"/>
    <w:rsid w:val="00F90C4C"/>
    <w:rsid w:val="00F96357"/>
    <w:rsid w:val="00F978BD"/>
    <w:rsid w:val="00FA3416"/>
    <w:rsid w:val="00FA64F9"/>
    <w:rsid w:val="00FB69E4"/>
    <w:rsid w:val="00FC0138"/>
    <w:rsid w:val="00FC0899"/>
    <w:rsid w:val="00FD2C26"/>
    <w:rsid w:val="00FD366B"/>
    <w:rsid w:val="00FD3691"/>
    <w:rsid w:val="00FD3BDB"/>
    <w:rsid w:val="00FE7DB8"/>
    <w:rsid w:val="00FF28EF"/>
    <w:rsid w:val="00FF4200"/>
    <w:rsid w:val="00FF5144"/>
    <w:rsid w:val="00FF577A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6A5BAC4"/>
  <w15:docId w15:val="{4FE45929-83CF-4F30-8974-D27B6195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F4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448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4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448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326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63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326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63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52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E3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C59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59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594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9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948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tornas1.tcore.com\business\_Marketing\Marketing%20Communications\Communications\Press%20Releases\April%202017\test\master%20sheet.xlsm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tornas1.tcore.com\business\_Marketing\Marketing%20Communications\Communications\Press%20Releases\April%202017\test\master%20sheet.xlsm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/>
              <a:t>TransCore Canadian Spot Market Freight Index , 2011-2017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6544585772932346"/>
          <c:y val="0.10020561659041632"/>
          <c:w val="0.70146645609127478"/>
          <c:h val="0.68843073756244177"/>
        </c:manualLayout>
      </c:layout>
      <c:lineChart>
        <c:grouping val="standard"/>
        <c:varyColors val="0"/>
        <c:ser>
          <c:idx val="3"/>
          <c:order val="0"/>
          <c:tx>
            <c:strRef>
              <c:f>'Index feed for graphs'!$B$2</c:f>
              <c:strCache>
                <c:ptCount val="1"/>
                <c:pt idx="0">
                  <c:v>2011</c:v>
                </c:pt>
              </c:strCache>
            </c:strRef>
          </c:tx>
          <c:spPr>
            <a:ln w="25400">
              <a:solidFill>
                <a:schemeClr val="bg1">
                  <a:lumMod val="50000"/>
                </a:schemeClr>
              </a:solidFill>
            </a:ln>
          </c:spPr>
          <c:marker>
            <c:symbol val="none"/>
          </c:marker>
          <c:cat>
            <c:strRef>
              <c:f>'Index feed for graphs'!$A$3:$A$14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'Index feed for graphs'!$B$3:$B$14</c:f>
              <c:numCache>
                <c:formatCode>_(* #,##0.0_);_(* \(#,##0.0\);_(* "-"??_);_(@_)</c:formatCode>
                <c:ptCount val="12"/>
                <c:pt idx="0">
                  <c:v>221.58144438587246</c:v>
                </c:pt>
                <c:pt idx="1">
                  <c:v>248.38429098576705</c:v>
                </c:pt>
                <c:pt idx="2">
                  <c:v>336.82656826568257</c:v>
                </c:pt>
                <c:pt idx="3">
                  <c:v>300.20624670532419</c:v>
                </c:pt>
                <c:pt idx="4">
                  <c:v>306.81075382182399</c:v>
                </c:pt>
                <c:pt idx="5">
                  <c:v>314.99406958355297</c:v>
                </c:pt>
                <c:pt idx="6">
                  <c:v>245.25369003690034</c:v>
                </c:pt>
                <c:pt idx="7">
                  <c:v>269.70347917764894</c:v>
                </c:pt>
                <c:pt idx="8">
                  <c:v>262.8004744333158</c:v>
                </c:pt>
                <c:pt idx="9">
                  <c:v>250.82762256193993</c:v>
                </c:pt>
                <c:pt idx="10">
                  <c:v>252.05521876647342</c:v>
                </c:pt>
                <c:pt idx="11">
                  <c:v>216.54388508170788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97F-404A-829B-EDB761F6E6F5}"/>
            </c:ext>
          </c:extLst>
        </c:ser>
        <c:ser>
          <c:idx val="4"/>
          <c:order val="1"/>
          <c:tx>
            <c:strRef>
              <c:f>'Index feed for graphs'!$C$2</c:f>
              <c:strCache>
                <c:ptCount val="1"/>
                <c:pt idx="0">
                  <c:v>2012</c:v>
                </c:pt>
              </c:strCache>
            </c:strRef>
          </c:tx>
          <c:spPr>
            <a:ln w="25400">
              <a:solidFill>
                <a:schemeClr val="accent4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'Index feed for graphs'!$A$3:$A$14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'Index feed for graphs'!$C$3:$C$14</c:f>
              <c:numCache>
                <c:formatCode>_(* #,##0.0_);_(* \(#,##0.0\);_(* "-"??_);_(@_)</c:formatCode>
                <c:ptCount val="12"/>
                <c:pt idx="0">
                  <c:v>219.57894043226148</c:v>
                </c:pt>
                <c:pt idx="1">
                  <c:v>222.46441750131788</c:v>
                </c:pt>
                <c:pt idx="2">
                  <c:v>275.85397996837105</c:v>
                </c:pt>
                <c:pt idx="3">
                  <c:v>266.42264101212436</c:v>
                </c:pt>
                <c:pt idx="4">
                  <c:v>301.23220875065886</c:v>
                </c:pt>
                <c:pt idx="5">
                  <c:v>294.65405904059031</c:v>
                </c:pt>
                <c:pt idx="6">
                  <c:v>233.29994728518716</c:v>
                </c:pt>
                <c:pt idx="7">
                  <c:v>234.90774907749082</c:v>
                </c:pt>
                <c:pt idx="8">
                  <c:v>199.82538218239327</c:v>
                </c:pt>
                <c:pt idx="9">
                  <c:v>215.24380600948862</c:v>
                </c:pt>
                <c:pt idx="10">
                  <c:v>215.46652609383239</c:v>
                </c:pt>
                <c:pt idx="11">
                  <c:v>182.02754348972061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97F-404A-829B-EDB761F6E6F5}"/>
            </c:ext>
          </c:extLst>
        </c:ser>
        <c:ser>
          <c:idx val="5"/>
          <c:order val="2"/>
          <c:tx>
            <c:strRef>
              <c:f>'Index feed for graphs'!$D$2</c:f>
              <c:strCache>
                <c:ptCount val="1"/>
                <c:pt idx="0">
                  <c:v>2013</c:v>
                </c:pt>
              </c:strCache>
            </c:strRef>
          </c:tx>
          <c:spPr>
            <a:ln w="254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'Index feed for graphs'!$A$3:$A$14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'Index feed for graphs'!$D$3:$D$14</c:f>
              <c:numCache>
                <c:formatCode>_(* #,##0.0_);_(* \(#,##0.0\);_(* "-"??_);_(@_)</c:formatCode>
                <c:ptCount val="12"/>
                <c:pt idx="0">
                  <c:v>228.34475487612016</c:v>
                </c:pt>
                <c:pt idx="1">
                  <c:v>198.34080126515548</c:v>
                </c:pt>
                <c:pt idx="2">
                  <c:v>245.33144438587246</c:v>
                </c:pt>
                <c:pt idx="3">
                  <c:v>229.34765419082754</c:v>
                </c:pt>
                <c:pt idx="4">
                  <c:v>252.32670005271484</c:v>
                </c:pt>
                <c:pt idx="5">
                  <c:v>233.60898787559307</c:v>
                </c:pt>
                <c:pt idx="6">
                  <c:v>233.00276752767527</c:v>
                </c:pt>
                <c:pt idx="7">
                  <c:v>229.45374275171324</c:v>
                </c:pt>
                <c:pt idx="8">
                  <c:v>218.07656826568265</c:v>
                </c:pt>
                <c:pt idx="9">
                  <c:v>232.25355824986812</c:v>
                </c:pt>
                <c:pt idx="10">
                  <c:v>210.29520295202954</c:v>
                </c:pt>
                <c:pt idx="11">
                  <c:v>234.15722192936218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97F-404A-829B-EDB761F6E6F5}"/>
            </c:ext>
          </c:extLst>
        </c:ser>
        <c:ser>
          <c:idx val="6"/>
          <c:order val="3"/>
          <c:tx>
            <c:strRef>
              <c:f>'Index feed for graphs'!$E$2</c:f>
              <c:strCache>
                <c:ptCount val="1"/>
                <c:pt idx="0">
                  <c:v>2014</c:v>
                </c:pt>
              </c:strCache>
            </c:strRef>
          </c:tx>
          <c:spPr>
            <a:ln w="25400">
              <a:solidFill>
                <a:schemeClr val="accent1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'Index feed for graphs'!$A$3:$A$14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'Index feed for graphs'!$E$3:$E$14</c:f>
              <c:numCache>
                <c:formatCode>_(* #,##0.0_);_(* \(#,##0.0\);_(* "-"??_);_(@_)</c:formatCode>
                <c:ptCount val="12"/>
                <c:pt idx="0">
                  <c:v>334.82670005271467</c:v>
                </c:pt>
                <c:pt idx="1">
                  <c:v>318.24261992619921</c:v>
                </c:pt>
                <c:pt idx="2">
                  <c:v>369.11109646810746</c:v>
                </c:pt>
                <c:pt idx="3">
                  <c:v>323.88639957828138</c:v>
                </c:pt>
                <c:pt idx="4">
                  <c:v>331.19267264101211</c:v>
                </c:pt>
                <c:pt idx="5">
                  <c:v>331.11821296784399</c:v>
                </c:pt>
                <c:pt idx="6">
                  <c:v>291.26581444385874</c:v>
                </c:pt>
                <c:pt idx="7">
                  <c:v>264.45176594623075</c:v>
                </c:pt>
                <c:pt idx="8">
                  <c:v>278.77701634159189</c:v>
                </c:pt>
                <c:pt idx="9">
                  <c:v>281.50566684238265</c:v>
                </c:pt>
                <c:pt idx="10">
                  <c:v>250.6035846072746</c:v>
                </c:pt>
                <c:pt idx="11">
                  <c:v>278.33091723774379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597F-404A-829B-EDB761F6E6F5}"/>
            </c:ext>
          </c:extLst>
        </c:ser>
        <c:ser>
          <c:idx val="7"/>
          <c:order val="4"/>
          <c:tx>
            <c:strRef>
              <c:f>'Index feed for graphs'!$F$2</c:f>
              <c:strCache>
                <c:ptCount val="1"/>
                <c:pt idx="0">
                  <c:v>2015</c:v>
                </c:pt>
              </c:strCache>
            </c:strRef>
          </c:tx>
          <c:spPr>
            <a:ln w="25400">
              <a:solidFill>
                <a:schemeClr val="accent6"/>
              </a:solidFill>
            </a:ln>
          </c:spPr>
          <c:marker>
            <c:symbol val="none"/>
          </c:marker>
          <c:cat>
            <c:strRef>
              <c:f>'Index feed for graphs'!$A$3:$A$14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'Index feed for graphs'!$F$3:$F$14</c:f>
              <c:numCache>
                <c:formatCode>_(* #,##0.0_);_(* \(#,##0.0\);_(* "-"??_);_(@_)</c:formatCode>
                <c:ptCount val="12"/>
                <c:pt idx="0">
                  <c:v>275.314971006853</c:v>
                </c:pt>
                <c:pt idx="1">
                  <c:v>253.1358724301528</c:v>
                </c:pt>
                <c:pt idx="2">
                  <c:v>285.33144438587243</c:v>
                </c:pt>
                <c:pt idx="3">
                  <c:v>248.70057986294145</c:v>
                </c:pt>
                <c:pt idx="4">
                  <c:v>257.50263574064314</c:v>
                </c:pt>
                <c:pt idx="5">
                  <c:v>262.75500790722185</c:v>
                </c:pt>
                <c:pt idx="6">
                  <c:v>196.80021085925148</c:v>
                </c:pt>
                <c:pt idx="7">
                  <c:v>196.01937269372689</c:v>
                </c:pt>
                <c:pt idx="8">
                  <c:v>209.86689509752239</c:v>
                </c:pt>
                <c:pt idx="9">
                  <c:v>196.72245651027944</c:v>
                </c:pt>
                <c:pt idx="10">
                  <c:v>181.58408012651552</c:v>
                </c:pt>
                <c:pt idx="11">
                  <c:v>178.22153400105427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597F-404A-829B-EDB761F6E6F5}"/>
            </c:ext>
          </c:extLst>
        </c:ser>
        <c:ser>
          <c:idx val="0"/>
          <c:order val="5"/>
          <c:tx>
            <c:strRef>
              <c:f>'Index feed for graphs'!$G$2</c:f>
              <c:strCache>
                <c:ptCount val="1"/>
                <c:pt idx="0">
                  <c:v>2016</c:v>
                </c:pt>
              </c:strCache>
            </c:strRef>
          </c:tx>
          <c:spPr>
            <a:ln w="25400">
              <a:solidFill>
                <a:schemeClr val="accent2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'Index feed for graphs'!$A$3:$A$14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'Index feed for graphs'!$G$3:$G$14</c:f>
              <c:numCache>
                <c:formatCode>_(* #,##0.0_);_(* \(#,##0.0\);_(* "-"??_);_(@_)</c:formatCode>
                <c:ptCount val="12"/>
                <c:pt idx="0">
                  <c:v>199.07353716394303</c:v>
                </c:pt>
                <c:pt idx="1">
                  <c:v>201.20651027938845</c:v>
                </c:pt>
                <c:pt idx="2">
                  <c:v>236.08921982076961</c:v>
                </c:pt>
                <c:pt idx="3">
                  <c:v>207.12770163415917</c:v>
                </c:pt>
                <c:pt idx="4">
                  <c:v>251.69082762256193</c:v>
                </c:pt>
                <c:pt idx="5">
                  <c:v>247.3906167633105</c:v>
                </c:pt>
                <c:pt idx="6">
                  <c:v>197.20875065893514</c:v>
                </c:pt>
                <c:pt idx="7">
                  <c:v>219.90115972588293</c:v>
                </c:pt>
                <c:pt idx="8">
                  <c:v>230.51199261992622</c:v>
                </c:pt>
                <c:pt idx="9">
                  <c:v>212.65023721665787</c:v>
                </c:pt>
                <c:pt idx="10">
                  <c:v>225.76700052714807</c:v>
                </c:pt>
                <c:pt idx="11">
                  <c:v>257.85780179230375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597F-404A-829B-EDB761F6E6F5}"/>
            </c:ext>
          </c:extLst>
        </c:ser>
        <c:ser>
          <c:idx val="1"/>
          <c:order val="6"/>
          <c:tx>
            <c:strRef>
              <c:f>'Index feed for graphs'!$H$2</c:f>
              <c:strCache>
                <c:ptCount val="1"/>
                <c:pt idx="0">
                  <c:v>2017</c:v>
                </c:pt>
              </c:strCache>
            </c:strRef>
          </c:tx>
          <c:spPr>
            <a:ln w="25400">
              <a:solidFill>
                <a:srgbClr val="89A54E"/>
              </a:solidFill>
            </a:ln>
          </c:spPr>
          <c:marker>
            <c:symbol val="square"/>
            <c:size val="5"/>
            <c:spPr>
              <a:solidFill>
                <a:srgbClr val="89A54E"/>
              </a:solidFill>
              <a:ln>
                <a:noFill/>
              </a:ln>
            </c:spPr>
          </c:marker>
          <c:cat>
            <c:strRef>
              <c:f>'Index feed for graphs'!$A$3:$A$14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'Index feed for graphs'!$H$3:$H$14</c:f>
              <c:numCache>
                <c:formatCode>_(* #,##0.0_);_(* \(#,##0.0\);_(* "-"??_);_(@_)</c:formatCode>
                <c:ptCount val="12"/>
                <c:pt idx="0">
                  <c:v>283.87585661570904</c:v>
                </c:pt>
                <c:pt idx="1">
                  <c:v>269.36676331049028</c:v>
                </c:pt>
                <c:pt idx="2">
                  <c:v>357.14417501317871</c:v>
                </c:pt>
                <c:pt idx="3">
                  <c:v>283.19649446494464</c:v>
                </c:pt>
                <c:pt idx="4">
                  <c:v>329.93476541908274</c:v>
                </c:pt>
                <c:pt idx="5">
                  <c:v>#N/A</c:v>
                </c:pt>
                <c:pt idx="6">
                  <c:v>#N/A</c:v>
                </c:pt>
                <c:pt idx="7">
                  <c:v>#N/A</c:v>
                </c:pt>
                <c:pt idx="8">
                  <c:v>#N/A</c:v>
                </c:pt>
                <c:pt idx="9">
                  <c:v>#N/A</c:v>
                </c:pt>
                <c:pt idx="10">
                  <c:v>#N/A</c:v>
                </c:pt>
                <c:pt idx="11">
                  <c:v>#N/A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597F-404A-829B-EDB761F6E6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8222848"/>
        <c:axId val="38249216"/>
      </c:lineChart>
      <c:catAx>
        <c:axId val="382228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38249216"/>
        <c:crosses val="autoZero"/>
        <c:auto val="1"/>
        <c:lblAlgn val="ctr"/>
        <c:lblOffset val="100"/>
        <c:noMultiLvlLbl val="0"/>
      </c:catAx>
      <c:valAx>
        <c:axId val="38249216"/>
        <c:scaling>
          <c:orientation val="minMax"/>
          <c:max val="400"/>
          <c:min val="15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/>
                  <a:t>January  2002 = 100</a:t>
                </a:r>
              </a:p>
            </c:rich>
          </c:tx>
          <c:overlay val="0"/>
        </c:title>
        <c:numFmt formatCode="_(* #,##0.0_);_(* \(#,##0.0\);_(* &quot;-&quot;??_);_(@_)" sourceLinked="1"/>
        <c:majorTickMark val="cross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38222848"/>
        <c:crosses val="autoZero"/>
        <c:crossBetween val="between"/>
        <c:majorUnit val="25"/>
        <c:minorUnit val="12.5"/>
      </c:valAx>
    </c:plotArea>
    <c:legend>
      <c:legendPos val="b"/>
      <c:layout>
        <c:manualLayout>
          <c:xMode val="edge"/>
          <c:yMode val="edge"/>
          <c:x val="5.2424808484347683E-2"/>
          <c:y val="0.88380371077165376"/>
          <c:w val="0.89999984726096927"/>
          <c:h val="4.9095956997417416E-2"/>
        </c:manualLayout>
      </c:layout>
      <c:overlay val="0"/>
      <c:txPr>
        <a:bodyPr/>
        <a:lstStyle/>
        <a:p>
          <a:pPr>
            <a:defRPr sz="77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/>
              <a:t>TransCore Canadian Spot Market Truck Index, 2011 - 2017</a:t>
            </a:r>
          </a:p>
        </c:rich>
      </c:tx>
      <c:layout>
        <c:manualLayout>
          <c:xMode val="edge"/>
          <c:yMode val="edge"/>
          <c:x val="0.13922198830827845"/>
          <c:y val="6.03448275862068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3619402985074627"/>
          <c:y val="0.14318722844258402"/>
          <c:w val="0.83395522388060062"/>
          <c:h val="0.67436565653604841"/>
        </c:manualLayout>
      </c:layout>
      <c:lineChart>
        <c:grouping val="standard"/>
        <c:varyColors val="0"/>
        <c:ser>
          <c:idx val="4"/>
          <c:order val="0"/>
          <c:tx>
            <c:strRef>
              <c:f>'Index feed for graphs'!$B$21</c:f>
              <c:strCache>
                <c:ptCount val="1"/>
                <c:pt idx="0">
                  <c:v>2011</c:v>
                </c:pt>
              </c:strCache>
            </c:strRef>
          </c:tx>
          <c:spPr>
            <a:ln w="25400">
              <a:solidFill>
                <a:schemeClr val="bg1">
                  <a:lumMod val="50000"/>
                </a:schemeClr>
              </a:solidFill>
            </a:ln>
          </c:spPr>
          <c:marker>
            <c:symbol val="none"/>
          </c:marker>
          <c:cat>
            <c:strRef>
              <c:f>'Index feed for graphs'!$A$22:$A$33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'Index feed for graphs'!$B$22:$B$33</c:f>
              <c:numCache>
                <c:formatCode>_(* #,##0.0_);_(* \(#,##0.0\);_(* "-"??_);_(@_)</c:formatCode>
                <c:ptCount val="12"/>
                <c:pt idx="0">
                  <c:v>104.50488591035267</c:v>
                </c:pt>
                <c:pt idx="1">
                  <c:v>93.856618911002712</c:v>
                </c:pt>
                <c:pt idx="2">
                  <c:v>104.02042339051702</c:v>
                </c:pt>
                <c:pt idx="3">
                  <c:v>93.026411989809333</c:v>
                </c:pt>
                <c:pt idx="4">
                  <c:v>105.30821994928682</c:v>
                </c:pt>
                <c:pt idx="5">
                  <c:v>106.88426194904962</c:v>
                </c:pt>
                <c:pt idx="6">
                  <c:v>100.40129169988248</c:v>
                </c:pt>
                <c:pt idx="7">
                  <c:v>111.67679278905986</c:v>
                </c:pt>
                <c:pt idx="8">
                  <c:v>105.17550694416295</c:v>
                </c:pt>
                <c:pt idx="9">
                  <c:v>103.47575960930735</c:v>
                </c:pt>
                <c:pt idx="10">
                  <c:v>108.6457118236178</c:v>
                </c:pt>
                <c:pt idx="11">
                  <c:v>96.699289444962417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CE9-4B26-A6B4-A58E764E21DB}"/>
            </c:ext>
          </c:extLst>
        </c:ser>
        <c:ser>
          <c:idx val="5"/>
          <c:order val="1"/>
          <c:tx>
            <c:strRef>
              <c:f>'Index feed for graphs'!$C$21</c:f>
              <c:strCache>
                <c:ptCount val="1"/>
                <c:pt idx="0">
                  <c:v>2012</c:v>
                </c:pt>
              </c:strCache>
            </c:strRef>
          </c:tx>
          <c:spPr>
            <a:ln w="25400">
              <a:solidFill>
                <a:schemeClr val="accent4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'Index feed for graphs'!$A$22:$A$33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'Index feed for graphs'!$C$22:$C$33</c:f>
              <c:numCache>
                <c:formatCode>_(* #,##0.0_);_(* \(#,##0.0\);_(* "-"??_);_(@_)</c:formatCode>
                <c:ptCount val="12"/>
                <c:pt idx="0">
                  <c:v>107.42126921073296</c:v>
                </c:pt>
                <c:pt idx="1">
                  <c:v>108.72302765805081</c:v>
                </c:pt>
                <c:pt idx="2">
                  <c:v>113.6469203526803</c:v>
                </c:pt>
                <c:pt idx="3">
                  <c:v>110.24652491596596</c:v>
                </c:pt>
                <c:pt idx="4">
                  <c:v>121.19339617684456</c:v>
                </c:pt>
                <c:pt idx="5">
                  <c:v>112.21380005074322</c:v>
                </c:pt>
                <c:pt idx="6">
                  <c:v>121.95679621197451</c:v>
                </c:pt>
                <c:pt idx="7">
                  <c:v>125.91161373909888</c:v>
                </c:pt>
                <c:pt idx="8">
                  <c:v>110.68399742380636</c:v>
                </c:pt>
                <c:pt idx="9">
                  <c:v>134.19161415945678</c:v>
                </c:pt>
                <c:pt idx="10">
                  <c:v>127.43631201968476</c:v>
                </c:pt>
                <c:pt idx="11">
                  <c:v>103.69314471272287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CE9-4B26-A6B4-A58E764E21DB}"/>
            </c:ext>
          </c:extLst>
        </c:ser>
        <c:ser>
          <c:idx val="6"/>
          <c:order val="2"/>
          <c:tx>
            <c:strRef>
              <c:f>'Index feed for graphs'!$D$21</c:f>
              <c:strCache>
                <c:ptCount val="1"/>
                <c:pt idx="0">
                  <c:v>2013</c:v>
                </c:pt>
              </c:strCache>
            </c:strRef>
          </c:tx>
          <c:spPr>
            <a:ln w="254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'Index feed for graphs'!$A$22:$A$33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'Index feed for graphs'!$D$22:$D$33</c:f>
              <c:numCache>
                <c:formatCode>_(* #,##0.0_);_(* \(#,##0.0\);_(* "-"??_);_(@_)</c:formatCode>
                <c:ptCount val="12"/>
                <c:pt idx="0">
                  <c:v>121.37580149497298</c:v>
                </c:pt>
                <c:pt idx="1">
                  <c:v>113.81611442142984</c:v>
                </c:pt>
                <c:pt idx="2">
                  <c:v>115.98606213190533</c:v>
                </c:pt>
                <c:pt idx="3">
                  <c:v>122.82363432462741</c:v>
                </c:pt>
                <c:pt idx="4">
                  <c:v>125.26741520404626</c:v>
                </c:pt>
                <c:pt idx="5">
                  <c:v>126.15797351444755</c:v>
                </c:pt>
                <c:pt idx="6">
                  <c:v>138.8949690661598</c:v>
                </c:pt>
                <c:pt idx="7">
                  <c:v>134.29310057513973</c:v>
                </c:pt>
                <c:pt idx="8">
                  <c:v>126.94824643183672</c:v>
                </c:pt>
                <c:pt idx="9">
                  <c:v>139.1651991670908</c:v>
                </c:pt>
                <c:pt idx="10">
                  <c:v>125.42940313677094</c:v>
                </c:pt>
                <c:pt idx="11">
                  <c:v>104.9241929502972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CE9-4B26-A6B4-A58E764E21DB}"/>
            </c:ext>
          </c:extLst>
        </c:ser>
        <c:ser>
          <c:idx val="7"/>
          <c:order val="3"/>
          <c:tx>
            <c:strRef>
              <c:f>'Index feed for graphs'!$E$21</c:f>
              <c:strCache>
                <c:ptCount val="1"/>
                <c:pt idx="0">
                  <c:v>2014</c:v>
                </c:pt>
              </c:strCache>
            </c:strRef>
          </c:tx>
          <c:spPr>
            <a:ln w="25400">
              <a:solidFill>
                <a:schemeClr val="accent1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'Index feed for graphs'!$A$22:$A$33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'Index feed for graphs'!$E$22:$E$33</c:f>
              <c:numCache>
                <c:formatCode>_(* #,##0.0_);_(* \(#,##0.0\);_(* "-"??_);_(@_)</c:formatCode>
                <c:ptCount val="12"/>
                <c:pt idx="0">
                  <c:v>104.00721214113818</c:v>
                </c:pt>
                <c:pt idx="1">
                  <c:v>94.691629922879343</c:v>
                </c:pt>
                <c:pt idx="2">
                  <c:v>98.574386089755407</c:v>
                </c:pt>
                <c:pt idx="3">
                  <c:v>108.00796878542079</c:v>
                </c:pt>
                <c:pt idx="4">
                  <c:v>112.30027368304113</c:v>
                </c:pt>
                <c:pt idx="5">
                  <c:v>111.01953313246227</c:v>
                </c:pt>
                <c:pt idx="6">
                  <c:v>125.34908474566093</c:v>
                </c:pt>
                <c:pt idx="7">
                  <c:v>117.47337858186245</c:v>
                </c:pt>
                <c:pt idx="8">
                  <c:v>121.76343156197504</c:v>
                </c:pt>
                <c:pt idx="9">
                  <c:v>130.32492167080267</c:v>
                </c:pt>
                <c:pt idx="10">
                  <c:v>114.99431766148876</c:v>
                </c:pt>
                <c:pt idx="11">
                  <c:v>105.2245987458321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4CE9-4B26-A6B4-A58E764E21DB}"/>
            </c:ext>
          </c:extLst>
        </c:ser>
        <c:ser>
          <c:idx val="0"/>
          <c:order val="4"/>
          <c:tx>
            <c:strRef>
              <c:f>'Index feed for graphs'!$F$21</c:f>
              <c:strCache>
                <c:ptCount val="1"/>
                <c:pt idx="0">
                  <c:v>2015</c:v>
                </c:pt>
              </c:strCache>
            </c:strRef>
          </c:tx>
          <c:spPr>
            <a:ln w="25400">
              <a:solidFill>
                <a:schemeClr val="accent6"/>
              </a:solidFill>
            </a:ln>
          </c:spPr>
          <c:marker>
            <c:symbol val="none"/>
          </c:marker>
          <c:cat>
            <c:strRef>
              <c:f>'Index feed for graphs'!$A$22:$A$33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'Index feed for graphs'!$F$22:$F$33</c:f>
              <c:numCache>
                <c:formatCode>_(* #,##0.0_);_(* \(#,##0.0\);_(* "-"??_);_(@_)</c:formatCode>
                <c:ptCount val="12"/>
                <c:pt idx="0">
                  <c:v>112.20404174154292</c:v>
                </c:pt>
                <c:pt idx="1">
                  <c:v>109.56314301627836</c:v>
                </c:pt>
                <c:pt idx="2">
                  <c:v>127.05919090105226</c:v>
                </c:pt>
                <c:pt idx="3">
                  <c:v>141.7630112040402</c:v>
                </c:pt>
                <c:pt idx="4">
                  <c:v>140.25858018102414</c:v>
                </c:pt>
                <c:pt idx="5">
                  <c:v>151.30693785758581</c:v>
                </c:pt>
                <c:pt idx="6">
                  <c:v>166.3108637004409</c:v>
                </c:pt>
                <c:pt idx="7">
                  <c:v>154.95894754383363</c:v>
                </c:pt>
                <c:pt idx="8">
                  <c:v>157.53183836036388</c:v>
                </c:pt>
                <c:pt idx="9">
                  <c:v>164.35935198821798</c:v>
                </c:pt>
                <c:pt idx="10">
                  <c:v>158.79921753372997</c:v>
                </c:pt>
                <c:pt idx="11">
                  <c:v>151.35542914791952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4CE9-4B26-A6B4-A58E764E21DB}"/>
            </c:ext>
          </c:extLst>
        </c:ser>
        <c:ser>
          <c:idx val="1"/>
          <c:order val="5"/>
          <c:tx>
            <c:strRef>
              <c:f>'Index feed for graphs'!$G$21</c:f>
              <c:strCache>
                <c:ptCount val="1"/>
                <c:pt idx="0">
                  <c:v>2016</c:v>
                </c:pt>
              </c:strCache>
            </c:strRef>
          </c:tx>
          <c:spPr>
            <a:ln w="25400">
              <a:solidFill>
                <a:schemeClr val="accent2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'Index feed for graphs'!$A$22:$A$33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'Index feed for graphs'!$G$22:$G$33</c:f>
              <c:numCache>
                <c:formatCode>_(* #,##0.0_);_(* \(#,##0.0\);_(* "-"??_);_(@_)</c:formatCode>
                <c:ptCount val="12"/>
                <c:pt idx="0">
                  <c:v>144.15980207146384</c:v>
                </c:pt>
                <c:pt idx="1">
                  <c:v>156.67671021875125</c:v>
                </c:pt>
                <c:pt idx="2">
                  <c:v>164.18985766380069</c:v>
                </c:pt>
                <c:pt idx="3">
                  <c:v>163.84516415727995</c:v>
                </c:pt>
                <c:pt idx="4">
                  <c:v>163.06720172226653</c:v>
                </c:pt>
                <c:pt idx="5">
                  <c:v>169.69699699293952</c:v>
                </c:pt>
                <c:pt idx="6">
                  <c:v>162.48785841143737</c:v>
                </c:pt>
                <c:pt idx="7">
                  <c:v>179.11391549904735</c:v>
                </c:pt>
                <c:pt idx="8">
                  <c:v>162.63288189893694</c:v>
                </c:pt>
                <c:pt idx="9">
                  <c:v>160.77820263954752</c:v>
                </c:pt>
                <c:pt idx="10">
                  <c:v>163.41039395044879</c:v>
                </c:pt>
                <c:pt idx="11">
                  <c:v>132.89586082549295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4CE9-4B26-A6B4-A58E764E21DB}"/>
            </c:ext>
          </c:extLst>
        </c:ser>
        <c:ser>
          <c:idx val="2"/>
          <c:order val="6"/>
          <c:tx>
            <c:strRef>
              <c:f>'Index feed for graphs'!$H$21</c:f>
              <c:strCache>
                <c:ptCount val="1"/>
                <c:pt idx="0">
                  <c:v>2017</c:v>
                </c:pt>
              </c:strCache>
            </c:strRef>
          </c:tx>
          <c:spPr>
            <a:ln w="25400">
              <a:solidFill>
                <a:srgbClr val="89A54E"/>
              </a:solidFill>
            </a:ln>
          </c:spPr>
          <c:marker>
            <c:symbol val="square"/>
            <c:size val="5"/>
            <c:spPr>
              <a:solidFill>
                <a:srgbClr val="89A54E"/>
              </a:solidFill>
              <a:ln>
                <a:noFill/>
              </a:ln>
            </c:spPr>
          </c:marker>
          <c:cat>
            <c:strRef>
              <c:f>'Index feed for graphs'!$A$22:$A$33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'Index feed for graphs'!$H$22:$H$33</c:f>
              <c:numCache>
                <c:formatCode>_(* #,##0.0_);_(* \(#,##0.0\);_(* "-"??_);_(@_)</c:formatCode>
                <c:ptCount val="12"/>
                <c:pt idx="0">
                  <c:v>135.6061186099964</c:v>
                </c:pt>
                <c:pt idx="1">
                  <c:v>129.74903130015201</c:v>
                </c:pt>
                <c:pt idx="2">
                  <c:v>144.58856716494091</c:v>
                </c:pt>
                <c:pt idx="3">
                  <c:v>129.93263764095127</c:v>
                </c:pt>
                <c:pt idx="4">
                  <c:v>151.94272923394266</c:v>
                </c:pt>
                <c:pt idx="5">
                  <c:v>#N/A</c:v>
                </c:pt>
                <c:pt idx="6">
                  <c:v>#N/A</c:v>
                </c:pt>
                <c:pt idx="7">
                  <c:v>#N/A</c:v>
                </c:pt>
                <c:pt idx="8">
                  <c:v>#N/A</c:v>
                </c:pt>
                <c:pt idx="9">
                  <c:v>#N/A</c:v>
                </c:pt>
                <c:pt idx="10">
                  <c:v>#N/A</c:v>
                </c:pt>
                <c:pt idx="11">
                  <c:v>#N/A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4CE9-4B26-A6B4-A58E764E21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02773120"/>
        <c:axId val="102774656"/>
      </c:lineChart>
      <c:catAx>
        <c:axId val="1027731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02774656"/>
        <c:crossesAt val="0"/>
        <c:auto val="1"/>
        <c:lblAlgn val="ctr"/>
        <c:lblOffset val="100"/>
        <c:noMultiLvlLbl val="0"/>
      </c:catAx>
      <c:valAx>
        <c:axId val="102774656"/>
        <c:scaling>
          <c:orientation val="minMax"/>
          <c:min val="8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/>
                  <a:t>January 2002 = 100</a:t>
                </a:r>
              </a:p>
            </c:rich>
          </c:tx>
          <c:overlay val="0"/>
        </c:title>
        <c:numFmt formatCode="_(* #,##0.0_);_(* \(#,##0.0\);_(* &quot;-&quot;??_);_(@_)" sourceLinked="1"/>
        <c:majorTickMark val="cross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02773120"/>
        <c:crosses val="autoZero"/>
        <c:crossBetween val="between"/>
        <c:majorUnit val="15"/>
        <c:minorUnit val="5"/>
      </c:valAx>
    </c:plotArea>
    <c:legend>
      <c:legendPos val="b"/>
      <c:overlay val="0"/>
      <c:txPr>
        <a:bodyPr/>
        <a:lstStyle/>
        <a:p>
          <a:pPr>
            <a:defRPr sz="77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9BAE5-C221-4AB5-B699-E137C42F7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388</Words>
  <Characters>2213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Transcore Link Logistics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Campbell-Jones, Karen</dc:creator>
  <cp:lastModifiedBy>McHale, Mimi</cp:lastModifiedBy>
  <cp:revision>2</cp:revision>
  <cp:lastPrinted>2015-01-12T14:51:00Z</cp:lastPrinted>
  <dcterms:created xsi:type="dcterms:W3CDTF">2017-06-13T14:34:00Z</dcterms:created>
  <dcterms:modified xsi:type="dcterms:W3CDTF">2017-06-13T14:34:00Z</dcterms:modified>
</cp:coreProperties>
</file>